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仿宋" w:hAnsi="仿宋" w:eastAsia="仿宋" w:cs="仿宋"/>
          <w:sz w:val="44"/>
          <w:szCs w:val="44"/>
        </w:rPr>
        <w:tag w:val="NEW_STAND_NAME"/>
        <w:id w:val="595910757"/>
        <w:lock w:val="sdtLocked"/>
        <w:placeholder>
          <w:docPart w:val="{75c9ad89-ef48-4363-bb7f-5247a198a373}"/>
        </w:placeholder>
      </w:sdtPr>
      <w:sdtEndPr>
        <w:rPr>
          <w:rFonts w:hint="eastAsia" w:ascii="宋体" w:hAnsi="宋体" w:eastAsia="宋体" w:cs="宋体"/>
          <w:b/>
          <w:bCs/>
          <w:sz w:val="44"/>
          <w:szCs w:val="44"/>
        </w:rPr>
      </w:sdtEndPr>
      <w:sdtContent>
        <w:p>
          <w:pPr>
            <w:widowControl/>
            <w:jc w:val="center"/>
            <w:rPr>
              <w:rFonts w:ascii="仿宋" w:hAnsi="仿宋" w:eastAsia="仿宋" w:cs="仿宋"/>
              <w:sz w:val="44"/>
              <w:szCs w:val="44"/>
            </w:rPr>
          </w:pPr>
          <w:bookmarkStart w:id="0" w:name="NEW_STAND_NAME"/>
        </w:p>
        <w:p>
          <w:pPr>
            <w:widowControl/>
            <w:jc w:val="center"/>
            <w:rPr>
              <w:rFonts w:ascii="宋体" w:hAnsi="宋体" w:eastAsia="宋体" w:cs="宋体"/>
              <w:b/>
              <w:bCs/>
              <w:sz w:val="44"/>
              <w:szCs w:val="44"/>
            </w:rPr>
          </w:pPr>
          <w:r>
            <w:rPr>
              <w:rFonts w:hint="eastAsia" w:ascii="宋体" w:hAnsi="宋体" w:eastAsia="宋体" w:cs="宋体"/>
              <w:b/>
              <w:bCs/>
              <w:sz w:val="44"/>
              <w:szCs w:val="44"/>
            </w:rPr>
            <w:t>海南省暖通</w:t>
          </w:r>
          <w:r>
            <w:rPr>
              <w:rFonts w:hint="eastAsia" w:ascii="宋体" w:hAnsi="宋体" w:eastAsia="宋体" w:cs="宋体"/>
              <w:b/>
              <w:bCs/>
              <w:kern w:val="0"/>
              <w:sz w:val="44"/>
              <w:szCs w:val="44"/>
              <w:lang w:bidi="ar"/>
            </w:rPr>
            <w:t>空调行业协会</w:t>
          </w:r>
        </w:p>
        <w:p>
          <w:pPr>
            <w:jc w:val="center"/>
            <w:rPr>
              <w:rFonts w:ascii="微软雅黑" w:hAnsi="微软雅黑" w:eastAsia="微软雅黑"/>
              <w:sz w:val="44"/>
              <w:szCs w:val="44"/>
            </w:rPr>
          </w:pPr>
          <w:r>
            <w:rPr>
              <w:rFonts w:hint="eastAsia" w:ascii="宋体" w:hAnsi="宋体" w:eastAsia="宋体" w:cs="宋体"/>
              <w:b/>
              <w:bCs/>
              <w:kern w:val="0"/>
              <w:sz w:val="44"/>
              <w:szCs w:val="44"/>
              <w:lang w:val="en-US" w:eastAsia="zh-CN" w:bidi="ar"/>
            </w:rPr>
            <w:t>中央</w:t>
          </w:r>
          <w:r>
            <w:rPr>
              <w:rFonts w:hint="eastAsia" w:ascii="宋体" w:hAnsi="宋体" w:eastAsia="宋体" w:cs="宋体"/>
              <w:b/>
              <w:bCs/>
              <w:kern w:val="0"/>
              <w:sz w:val="44"/>
              <w:szCs w:val="44"/>
              <w:lang w:bidi="ar"/>
            </w:rPr>
            <w:t>空调维修保养</w:t>
          </w:r>
          <w:bookmarkEnd w:id="0"/>
          <w:r>
            <w:rPr>
              <w:rFonts w:hint="eastAsia" w:ascii="宋体" w:hAnsi="宋体" w:eastAsia="宋体" w:cs="宋体"/>
              <w:b/>
              <w:bCs/>
              <w:kern w:val="0"/>
              <w:sz w:val="44"/>
              <w:szCs w:val="44"/>
              <w:lang w:bidi="ar"/>
            </w:rPr>
            <w:t>资质评定细则</w:t>
          </w:r>
        </w:p>
        <w:p>
          <w:pPr>
            <w:widowControl/>
            <w:jc w:val="center"/>
            <w:rPr>
              <w:rFonts w:ascii="仿宋" w:hAnsi="仿宋" w:eastAsia="仿宋" w:cs="仿宋"/>
              <w:b/>
              <w:bCs/>
              <w:sz w:val="36"/>
              <w:szCs w:val="36"/>
            </w:rPr>
          </w:pPr>
        </w:p>
      </w:sdtContent>
    </w:sdt>
    <w:p>
      <w:pPr>
        <w:widowControl/>
        <w:spacing w:line="240" w:lineRule="auto"/>
        <w:jc w:val="center"/>
        <w:rPr>
          <w:rFonts w:ascii="黑体" w:hAnsi="黑体" w:eastAsia="黑体" w:cs="黑体"/>
          <w:b/>
          <w:bCs/>
          <w:sz w:val="32"/>
          <w:szCs w:val="32"/>
        </w:rPr>
      </w:pPr>
      <w:r>
        <w:rPr>
          <w:rFonts w:hint="eastAsia" w:ascii="黑体" w:hAnsi="黑体" w:eastAsia="黑体" w:cs="黑体"/>
          <w:color w:val="000000"/>
          <w:kern w:val="0"/>
          <w:sz w:val="32"/>
          <w:szCs w:val="32"/>
          <w:lang w:bidi="ar"/>
        </w:rPr>
        <w:t xml:space="preserve">第一章 </w:t>
      </w:r>
      <w:r>
        <w:rPr>
          <w:rFonts w:hint="eastAsia" w:ascii="黑体" w:hAnsi="黑体" w:eastAsia="黑体" w:cs="黑体"/>
          <w:color w:val="000000"/>
          <w:kern w:val="0"/>
          <w:sz w:val="32"/>
          <w:szCs w:val="32"/>
          <w:lang w:val="en-US" w:eastAsia="zh-CN" w:bidi="ar"/>
        </w:rPr>
        <w:t xml:space="preserve">  </w:t>
      </w:r>
      <w:r>
        <w:rPr>
          <w:rFonts w:hint="eastAsia" w:ascii="黑体" w:hAnsi="黑体" w:eastAsia="黑体" w:cs="黑体"/>
          <w:color w:val="000000"/>
          <w:kern w:val="0"/>
          <w:sz w:val="32"/>
          <w:szCs w:val="32"/>
          <w:lang w:bidi="ar"/>
        </w:rPr>
        <w:t>总 则</w:t>
      </w:r>
    </w:p>
    <w:p>
      <w:pPr>
        <w:widowControl/>
        <w:spacing w:line="240" w:lineRule="auto"/>
        <w:ind w:firstLine="643" w:firstLineChars="200"/>
        <w:jc w:val="left"/>
        <w:rPr>
          <w:rFonts w:ascii="仿宋" w:hAnsi="仿宋" w:eastAsia="仿宋" w:cs="仿宋"/>
          <w:sz w:val="32"/>
          <w:szCs w:val="32"/>
        </w:rPr>
      </w:pPr>
      <w:r>
        <w:rPr>
          <w:rFonts w:hint="eastAsia" w:ascii="仿宋" w:hAnsi="仿宋" w:eastAsia="仿宋" w:cs="仿宋"/>
          <w:b/>
          <w:bCs/>
          <w:color w:val="000000"/>
          <w:kern w:val="0"/>
          <w:sz w:val="32"/>
          <w:szCs w:val="32"/>
          <w:lang w:bidi="ar"/>
        </w:rPr>
        <w:t>第一条</w:t>
      </w:r>
      <w:r>
        <w:rPr>
          <w:rFonts w:hint="eastAsia" w:ascii="仿宋" w:hAnsi="仿宋" w:eastAsia="仿宋" w:cs="仿宋"/>
          <w:color w:val="000000"/>
          <w:kern w:val="0"/>
          <w:sz w:val="32"/>
          <w:szCs w:val="32"/>
          <w:lang w:bidi="ar"/>
        </w:rPr>
        <w:t xml:space="preserve"> 为推动实现我省制冷空调全行业高质量全面发展，提高维修保养等薄弱环节服务质量和服务能力，推动维修保养服务企业转型升级，规范维修保养服务市场行为，加强行业自律，推进行业信用体系建设，维护会员合法权益及全行业共同利益，保障相关方合法权益，依据《</w:t>
      </w:r>
      <w:r>
        <w:rPr>
          <w:rFonts w:hint="eastAsia" w:ascii="仿宋" w:hAnsi="仿宋" w:eastAsia="仿宋" w:cs="仿宋"/>
          <w:sz w:val="32"/>
          <w:szCs w:val="32"/>
        </w:rPr>
        <w:t>海南省暖通空调行业协会团体标准</w:t>
      </w:r>
      <w:r>
        <w:rPr>
          <w:rFonts w:hint="eastAsia" w:ascii="仿宋" w:hAnsi="仿宋" w:eastAsia="仿宋" w:cs="仿宋"/>
          <w:color w:val="000000"/>
          <w:kern w:val="0"/>
          <w:sz w:val="32"/>
          <w:szCs w:val="32"/>
          <w:lang w:bidi="ar"/>
        </w:rPr>
        <w:t xml:space="preserve">》制定本办法。 </w:t>
      </w:r>
    </w:p>
    <w:p>
      <w:pPr>
        <w:widowControl/>
        <w:spacing w:line="240" w:lineRule="auto"/>
        <w:ind w:firstLine="643" w:firstLineChars="200"/>
        <w:jc w:val="left"/>
        <w:rPr>
          <w:rFonts w:hint="eastAsia" w:ascii="仿宋" w:hAnsi="仿宋" w:eastAsia="仿宋" w:cs="仿宋"/>
          <w:color w:val="000000"/>
          <w:kern w:val="0"/>
          <w:sz w:val="32"/>
          <w:szCs w:val="32"/>
          <w:lang w:eastAsia="zh-CN" w:bidi="ar"/>
        </w:rPr>
      </w:pPr>
      <w:r>
        <w:rPr>
          <w:rFonts w:hint="eastAsia" w:ascii="仿宋" w:hAnsi="仿宋" w:eastAsia="仿宋" w:cs="仿宋"/>
          <w:b/>
          <w:bCs/>
          <w:color w:val="000000"/>
          <w:kern w:val="0"/>
          <w:sz w:val="32"/>
          <w:szCs w:val="32"/>
          <w:lang w:bidi="ar"/>
        </w:rPr>
        <w:t>第二条</w:t>
      </w:r>
      <w:r>
        <w:rPr>
          <w:rFonts w:hint="eastAsia" w:ascii="仿宋" w:hAnsi="仿宋" w:eastAsia="仿宋" w:cs="仿宋"/>
          <w:color w:val="000000"/>
          <w:kern w:val="0"/>
          <w:sz w:val="32"/>
          <w:szCs w:val="32"/>
          <w:lang w:bidi="ar"/>
        </w:rPr>
        <w:t xml:space="preserve"> 海南省暖通空调行业维修保养企业能力等级备案是海南省暖通空调行业协会对行业内维修保养领域服务提供企业，通过初审、现场考察和专家符合性审查，确认其具备本办法规定的相应等级要求的能力，颁发能力等级证明性文件，面向全行业开展的一项自愿性备案登记工作。具备法人资格、从事制冷空调维修安装经营活动的企业，可根据自身情况自愿申请并按照本办法分类分级。                                                                                                                                                                      </w:t>
      </w:r>
    </w:p>
    <w:p>
      <w:pPr>
        <w:widowControl/>
        <w:spacing w:line="240" w:lineRule="auto"/>
        <w:ind w:firstLine="643" w:firstLineChars="200"/>
        <w:jc w:val="left"/>
        <w:rPr>
          <w:rFonts w:ascii="仿宋" w:hAnsi="仿宋" w:eastAsia="仿宋" w:cs="仿宋"/>
          <w:sz w:val="32"/>
          <w:szCs w:val="32"/>
        </w:rPr>
      </w:pPr>
      <w:r>
        <w:rPr>
          <w:rFonts w:hint="eastAsia" w:ascii="仿宋" w:hAnsi="仿宋" w:eastAsia="仿宋" w:cs="仿宋"/>
          <w:b/>
          <w:bCs/>
          <w:color w:val="000000"/>
          <w:kern w:val="0"/>
          <w:sz w:val="32"/>
          <w:szCs w:val="32"/>
          <w:lang w:bidi="ar"/>
        </w:rPr>
        <w:t>第三条</w:t>
      </w:r>
      <w:r>
        <w:rPr>
          <w:rFonts w:hint="eastAsia" w:ascii="仿宋" w:hAnsi="仿宋" w:eastAsia="仿宋" w:cs="仿宋"/>
          <w:color w:val="000000"/>
          <w:kern w:val="0"/>
          <w:sz w:val="32"/>
          <w:szCs w:val="32"/>
          <w:lang w:bidi="ar"/>
        </w:rPr>
        <w:t xml:space="preserve"> 海南省暖通空调行业维修保养企业能力等级是维修保养企业管理能力和技术水平等综合素质的体现。 </w:t>
      </w:r>
    </w:p>
    <w:p>
      <w:pPr>
        <w:widowControl/>
        <w:spacing w:line="240" w:lineRule="auto"/>
        <w:ind w:firstLine="643" w:firstLineChars="200"/>
        <w:jc w:val="left"/>
        <w:rPr>
          <w:rFonts w:ascii="仿宋" w:hAnsi="仿宋" w:eastAsia="仿宋" w:cs="仿宋"/>
          <w:color w:val="000000"/>
          <w:kern w:val="0"/>
          <w:sz w:val="32"/>
          <w:szCs w:val="32"/>
          <w:lang w:bidi="ar"/>
        </w:rPr>
      </w:pPr>
      <w:r>
        <w:rPr>
          <w:rFonts w:hint="eastAsia" w:ascii="仿宋" w:hAnsi="仿宋" w:eastAsia="仿宋" w:cs="仿宋"/>
          <w:b/>
          <w:bCs/>
          <w:color w:val="000000"/>
          <w:kern w:val="0"/>
          <w:sz w:val="32"/>
          <w:szCs w:val="32"/>
          <w:lang w:bidi="ar"/>
        </w:rPr>
        <w:t>第四条</w:t>
      </w:r>
      <w:r>
        <w:rPr>
          <w:rFonts w:hint="eastAsia" w:ascii="仿宋" w:hAnsi="仿宋" w:eastAsia="仿宋" w:cs="仿宋"/>
          <w:color w:val="000000"/>
          <w:kern w:val="0"/>
          <w:sz w:val="32"/>
          <w:szCs w:val="32"/>
          <w:lang w:bidi="ar"/>
        </w:rPr>
        <w:t xml:space="preserve"> 本办法涵盖的制冷空调设备维修保养项目，包含制冷空调设备和系统的维修、保养等服务。</w:t>
      </w:r>
    </w:p>
    <w:p>
      <w:pPr>
        <w:widowControl/>
        <w:numPr>
          <w:ilvl w:val="0"/>
          <w:numId w:val="0"/>
        </w:numPr>
        <w:spacing w:line="240" w:lineRule="auto"/>
        <w:jc w:val="center"/>
        <w:rPr>
          <w:rFonts w:hint="eastAsia" w:ascii="黑体" w:hAnsi="黑体" w:eastAsia="黑体" w:cs="黑体"/>
          <w:color w:val="000000"/>
          <w:kern w:val="0"/>
          <w:sz w:val="32"/>
          <w:szCs w:val="32"/>
          <w:lang w:val="en-US" w:eastAsia="zh-CN" w:bidi="ar"/>
        </w:rPr>
      </w:pPr>
    </w:p>
    <w:p>
      <w:pPr>
        <w:widowControl/>
        <w:numPr>
          <w:ilvl w:val="0"/>
          <w:numId w:val="0"/>
        </w:numPr>
        <w:spacing w:line="240" w:lineRule="auto"/>
        <w:jc w:val="center"/>
        <w:rPr>
          <w:rFonts w:hint="eastAsia" w:ascii="黑体" w:hAnsi="黑体" w:eastAsia="黑体" w:cs="黑体"/>
          <w:color w:val="000000"/>
          <w:kern w:val="0"/>
          <w:sz w:val="32"/>
          <w:szCs w:val="32"/>
          <w:lang w:val="en-US" w:eastAsia="zh-CN" w:bidi="ar"/>
        </w:rPr>
      </w:pPr>
    </w:p>
    <w:p>
      <w:pPr>
        <w:widowControl/>
        <w:numPr>
          <w:ilvl w:val="0"/>
          <w:numId w:val="0"/>
        </w:numPr>
        <w:spacing w:line="240" w:lineRule="auto"/>
        <w:jc w:val="center"/>
        <w:rPr>
          <w:rFonts w:hint="eastAsia" w:ascii="黑体" w:hAnsi="黑体" w:eastAsia="黑体" w:cs="黑体"/>
          <w:color w:val="000000"/>
          <w:kern w:val="0"/>
          <w:sz w:val="32"/>
          <w:szCs w:val="32"/>
          <w:lang w:val="en-US" w:eastAsia="zh-CN" w:bidi="ar"/>
        </w:rPr>
      </w:pPr>
    </w:p>
    <w:p>
      <w:pPr>
        <w:widowControl/>
        <w:numPr>
          <w:ilvl w:val="0"/>
          <w:numId w:val="0"/>
        </w:numPr>
        <w:spacing w:line="240" w:lineRule="auto"/>
        <w:jc w:val="center"/>
        <w:rPr>
          <w:rFonts w:hint="eastAsia"/>
          <w:lang w:val="en-US" w:eastAsia="zh-CN"/>
        </w:rPr>
      </w:pPr>
      <w:r>
        <w:rPr>
          <w:rFonts w:hint="eastAsia" w:ascii="黑体" w:hAnsi="黑体" w:eastAsia="黑体" w:cs="黑体"/>
          <w:color w:val="000000"/>
          <w:kern w:val="0"/>
          <w:sz w:val="32"/>
          <w:szCs w:val="32"/>
          <w:lang w:val="en-US" w:eastAsia="zh-CN" w:bidi="ar"/>
        </w:rPr>
        <w:t xml:space="preserve">第二章  </w:t>
      </w:r>
      <w:r>
        <w:rPr>
          <w:rFonts w:hint="eastAsia" w:ascii="黑体" w:hAnsi="黑体" w:eastAsia="黑体" w:cs="黑体"/>
          <w:color w:val="000000"/>
          <w:kern w:val="0"/>
          <w:sz w:val="32"/>
          <w:szCs w:val="32"/>
          <w:lang w:bidi="ar"/>
        </w:rPr>
        <w:t>企业能力分类等级分类和业务范围</w:t>
      </w:r>
    </w:p>
    <w:p>
      <w:pPr>
        <w:widowControl/>
        <w:numPr>
          <w:ilvl w:val="0"/>
          <w:numId w:val="0"/>
        </w:numPr>
        <w:spacing w:line="240" w:lineRule="auto"/>
        <w:ind w:firstLine="964" w:firstLineChars="300"/>
        <w:jc w:val="both"/>
        <w:rPr>
          <w:rFonts w:ascii="仿宋" w:hAnsi="仿宋" w:eastAsia="仿宋" w:cs="仿宋"/>
          <w:color w:val="000000"/>
          <w:kern w:val="0"/>
          <w:sz w:val="32"/>
          <w:szCs w:val="32"/>
          <w:lang w:bidi="ar"/>
        </w:rPr>
      </w:pPr>
      <w:r>
        <w:rPr>
          <w:rFonts w:hint="eastAsia" w:ascii="仿宋" w:hAnsi="仿宋" w:eastAsia="仿宋" w:cs="仿宋"/>
          <w:b/>
          <w:bCs/>
          <w:color w:val="000000"/>
          <w:kern w:val="0"/>
          <w:sz w:val="32"/>
          <w:szCs w:val="32"/>
          <w:lang w:bidi="ar"/>
        </w:rPr>
        <w:t>第</w:t>
      </w:r>
      <w:r>
        <w:rPr>
          <w:rFonts w:hint="eastAsia" w:ascii="仿宋" w:hAnsi="仿宋" w:eastAsia="仿宋" w:cs="仿宋"/>
          <w:b/>
          <w:bCs/>
          <w:color w:val="000000"/>
          <w:kern w:val="0"/>
          <w:sz w:val="32"/>
          <w:szCs w:val="32"/>
          <w:lang w:val="en-US" w:eastAsia="zh-CN" w:bidi="ar"/>
        </w:rPr>
        <w:t>五</w:t>
      </w:r>
      <w:r>
        <w:rPr>
          <w:rFonts w:hint="eastAsia" w:ascii="仿宋" w:hAnsi="仿宋" w:eastAsia="仿宋" w:cs="仿宋"/>
          <w:b/>
          <w:bCs/>
          <w:color w:val="000000"/>
          <w:kern w:val="0"/>
          <w:sz w:val="32"/>
          <w:szCs w:val="32"/>
          <w:lang w:bidi="ar"/>
        </w:rPr>
        <w:t>条</w:t>
      </w:r>
      <w:r>
        <w:rPr>
          <w:rFonts w:hint="eastAsia" w:ascii="仿宋" w:hAnsi="仿宋" w:eastAsia="仿宋" w:cs="仿宋"/>
          <w:color w:val="000000"/>
          <w:kern w:val="0"/>
          <w:sz w:val="32"/>
          <w:szCs w:val="32"/>
          <w:lang w:bidi="ar"/>
        </w:rPr>
        <w:t xml:space="preserve"> 海南省暖通空调行业维修安装企业的能力等级依据经营范围分为</w:t>
      </w:r>
      <w:r>
        <w:rPr>
          <w:rFonts w:hint="eastAsia" w:ascii="仿宋" w:hAnsi="仿宋" w:eastAsia="仿宋" w:cs="仿宋"/>
          <w:color w:val="333333"/>
          <w:sz w:val="32"/>
          <w:szCs w:val="32"/>
          <w:lang w:val="en-US" w:eastAsia="zh-CN"/>
        </w:rPr>
        <w:t>A类</w:t>
      </w:r>
      <w:r>
        <w:rPr>
          <w:rFonts w:hint="eastAsia" w:ascii="仿宋" w:hAnsi="仿宋" w:eastAsia="仿宋" w:cs="仿宋"/>
          <w:color w:val="333333"/>
          <w:sz w:val="32"/>
          <w:szCs w:val="32"/>
        </w:rPr>
        <w:t>I级</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lang w:val="en-US" w:eastAsia="zh-CN"/>
        </w:rPr>
        <w:t>A类</w:t>
      </w:r>
      <w:r>
        <w:rPr>
          <w:rFonts w:hint="eastAsia" w:ascii="宋体" w:hAnsi="宋体" w:eastAsia="宋体" w:cs="宋体"/>
          <w:color w:val="333333"/>
          <w:sz w:val="32"/>
          <w:szCs w:val="32"/>
        </w:rPr>
        <w:t>Ⅱ</w:t>
      </w:r>
      <w:r>
        <w:rPr>
          <w:rFonts w:hint="eastAsia" w:ascii="仿宋" w:hAnsi="仿宋" w:eastAsia="仿宋" w:cs="仿宋"/>
          <w:color w:val="333333"/>
          <w:sz w:val="32"/>
          <w:szCs w:val="32"/>
        </w:rPr>
        <w:t>级</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lang w:val="en-US" w:eastAsia="zh-CN"/>
        </w:rPr>
        <w:t>A类</w:t>
      </w:r>
      <w:r>
        <w:rPr>
          <w:rFonts w:hint="eastAsia" w:ascii="宋体" w:hAnsi="宋体" w:eastAsia="宋体" w:cs="宋体"/>
          <w:color w:val="333333"/>
          <w:sz w:val="32"/>
          <w:szCs w:val="32"/>
        </w:rPr>
        <w:t>Ⅲ</w:t>
      </w:r>
      <w:r>
        <w:rPr>
          <w:rFonts w:hint="eastAsia" w:ascii="仿宋" w:hAnsi="仿宋" w:eastAsia="仿宋" w:cs="仿宋"/>
          <w:color w:val="333333"/>
          <w:sz w:val="32"/>
          <w:szCs w:val="32"/>
        </w:rPr>
        <w:t>级。</w:t>
      </w:r>
      <w:r>
        <w:rPr>
          <w:rFonts w:hint="eastAsia" w:ascii="仿宋" w:hAnsi="仿宋" w:eastAsia="仿宋" w:cs="仿宋"/>
          <w:color w:val="333333"/>
          <w:sz w:val="32"/>
          <w:szCs w:val="32"/>
          <w:lang w:val="en-US" w:eastAsia="zh-CN"/>
        </w:rPr>
        <w:t>适用范围：大型中央空调设备系统实施维修保养。</w:t>
      </w:r>
    </w:p>
    <w:p>
      <w:pPr>
        <w:widowControl/>
        <w:numPr>
          <w:ilvl w:val="0"/>
          <w:numId w:val="0"/>
        </w:numPr>
        <w:spacing w:line="240" w:lineRule="auto"/>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能力等级评定通用条件</w:t>
      </w:r>
    </w:p>
    <w:tbl>
      <w:tblPr>
        <w:tblStyle w:val="7"/>
        <w:tblW w:w="92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8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center"/>
          </w:tcPr>
          <w:p>
            <w:pPr>
              <w:pStyle w:val="11"/>
              <w:widowControl w:val="0"/>
              <w:spacing w:line="240" w:lineRule="auto"/>
              <w:ind w:firstLine="0" w:firstLineChars="0"/>
              <w:jc w:val="center"/>
              <w:rPr>
                <w:rFonts w:ascii="仿宋" w:hAnsi="仿宋" w:eastAsia="仿宋" w:cs="仿宋"/>
                <w:sz w:val="24"/>
                <w:szCs w:val="24"/>
              </w:rPr>
            </w:pPr>
            <w:r>
              <w:rPr>
                <w:rFonts w:hint="eastAsia" w:ascii="仿宋" w:hAnsi="仿宋" w:eastAsia="仿宋" w:cs="仿宋"/>
                <w:sz w:val="24"/>
                <w:szCs w:val="24"/>
              </w:rPr>
              <w:t>a</w:t>
            </w:r>
          </w:p>
        </w:tc>
        <w:tc>
          <w:tcPr>
            <w:tcW w:w="8610" w:type="dxa"/>
            <w:vAlign w:val="center"/>
          </w:tcPr>
          <w:p>
            <w:pPr>
              <w:pStyle w:val="13"/>
              <w:widowControl w:val="0"/>
              <w:numPr>
                <w:ilvl w:val="0"/>
                <w:numId w:val="0"/>
              </w:numPr>
              <w:spacing w:line="240" w:lineRule="auto"/>
              <w:jc w:val="left"/>
              <w:rPr>
                <w:rFonts w:ascii="仿宋" w:hAnsi="仿宋" w:eastAsia="仿宋" w:cs="仿宋"/>
                <w:sz w:val="24"/>
                <w:szCs w:val="24"/>
              </w:rPr>
            </w:pPr>
            <w:r>
              <w:rPr>
                <w:rFonts w:hint="eastAsia" w:ascii="仿宋" w:hAnsi="仿宋" w:eastAsia="仿宋" w:cs="仿宋"/>
                <w:sz w:val="24"/>
                <w:szCs w:val="24"/>
              </w:rPr>
              <w:t>具有与经营业务和服务规模相适应的注册资金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center"/>
          </w:tcPr>
          <w:p>
            <w:pPr>
              <w:pStyle w:val="11"/>
              <w:widowControl w:val="0"/>
              <w:spacing w:line="240" w:lineRule="auto"/>
              <w:ind w:firstLine="0" w:firstLineChars="0"/>
              <w:jc w:val="center"/>
              <w:rPr>
                <w:rFonts w:ascii="仿宋" w:hAnsi="仿宋" w:eastAsia="仿宋" w:cs="仿宋"/>
                <w:sz w:val="24"/>
                <w:szCs w:val="24"/>
              </w:rPr>
            </w:pPr>
            <w:r>
              <w:rPr>
                <w:rFonts w:hint="eastAsia" w:ascii="仿宋" w:hAnsi="仿宋" w:eastAsia="仿宋" w:cs="仿宋"/>
                <w:sz w:val="24"/>
                <w:szCs w:val="24"/>
              </w:rPr>
              <w:t>b</w:t>
            </w:r>
          </w:p>
        </w:tc>
        <w:tc>
          <w:tcPr>
            <w:tcW w:w="8610" w:type="dxa"/>
            <w:vAlign w:val="center"/>
          </w:tcPr>
          <w:p>
            <w:pPr>
              <w:pStyle w:val="11"/>
              <w:widowControl w:val="0"/>
              <w:spacing w:line="240" w:lineRule="auto"/>
              <w:ind w:firstLine="0" w:firstLineChars="0"/>
              <w:jc w:val="left"/>
              <w:rPr>
                <w:rFonts w:ascii="仿宋" w:hAnsi="仿宋" w:eastAsia="仿宋" w:cs="仿宋"/>
                <w:sz w:val="24"/>
                <w:szCs w:val="24"/>
              </w:rPr>
            </w:pPr>
            <w:r>
              <w:rPr>
                <w:rFonts w:hint="eastAsia" w:ascii="仿宋" w:hAnsi="仿宋" w:eastAsia="仿宋" w:cs="仿宋"/>
                <w:sz w:val="24"/>
                <w:szCs w:val="24"/>
              </w:rPr>
              <w:t>经营管理制度完善（施工、技术、质量、安全、环保、财务、人事等方面）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639" w:type="dxa"/>
            <w:vAlign w:val="center"/>
          </w:tcPr>
          <w:p>
            <w:pPr>
              <w:pStyle w:val="11"/>
              <w:widowControl w:val="0"/>
              <w:spacing w:line="240" w:lineRule="auto"/>
              <w:ind w:firstLine="0" w:firstLineChars="0"/>
              <w:jc w:val="center"/>
              <w:rPr>
                <w:rFonts w:ascii="仿宋" w:hAnsi="仿宋" w:eastAsia="仿宋" w:cs="仿宋"/>
                <w:sz w:val="24"/>
                <w:szCs w:val="24"/>
              </w:rPr>
            </w:pPr>
            <w:r>
              <w:rPr>
                <w:rFonts w:hint="eastAsia" w:ascii="仿宋" w:hAnsi="仿宋" w:eastAsia="仿宋" w:cs="仿宋"/>
                <w:sz w:val="24"/>
                <w:szCs w:val="24"/>
              </w:rPr>
              <w:t>c</w:t>
            </w:r>
          </w:p>
        </w:tc>
        <w:tc>
          <w:tcPr>
            <w:tcW w:w="8610" w:type="dxa"/>
            <w:vAlign w:val="center"/>
          </w:tcPr>
          <w:p>
            <w:pPr>
              <w:pStyle w:val="11"/>
              <w:widowControl w:val="0"/>
              <w:spacing w:line="240" w:lineRule="auto"/>
              <w:ind w:firstLine="0" w:firstLineChars="0"/>
              <w:jc w:val="left"/>
              <w:rPr>
                <w:rFonts w:ascii="仿宋" w:hAnsi="仿宋" w:eastAsia="仿宋" w:cs="仿宋"/>
                <w:sz w:val="24"/>
                <w:szCs w:val="24"/>
              </w:rPr>
            </w:pPr>
            <w:r>
              <w:rPr>
                <w:rFonts w:hint="eastAsia" w:ascii="仿宋" w:hAnsi="仿宋" w:eastAsia="仿宋" w:cs="仿宋"/>
                <w:sz w:val="24"/>
                <w:szCs w:val="24"/>
              </w:rPr>
              <w:t>具有一定数量的专业技术人员和技术工人，特殊工种的持证上岗率符合相关要求（注：专业技术人员和技术工人是指取得社会认可的机电类工程技术职称或持有效期内的《制冷空调系统维修安装工职业证书》《制冷工岗位证书》等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center"/>
          </w:tcPr>
          <w:p>
            <w:pPr>
              <w:pStyle w:val="11"/>
              <w:widowControl w:val="0"/>
              <w:spacing w:line="240" w:lineRule="auto"/>
              <w:ind w:firstLine="0" w:firstLineChars="0"/>
              <w:jc w:val="center"/>
              <w:rPr>
                <w:rFonts w:ascii="仿宋" w:hAnsi="仿宋" w:eastAsia="仿宋" w:cs="仿宋"/>
                <w:sz w:val="24"/>
                <w:szCs w:val="24"/>
              </w:rPr>
            </w:pPr>
            <w:r>
              <w:rPr>
                <w:rFonts w:hint="eastAsia" w:ascii="仿宋" w:hAnsi="仿宋" w:eastAsia="仿宋" w:cs="仿宋"/>
                <w:sz w:val="24"/>
                <w:szCs w:val="24"/>
              </w:rPr>
              <w:t>d</w:t>
            </w:r>
          </w:p>
        </w:tc>
        <w:tc>
          <w:tcPr>
            <w:tcW w:w="8610" w:type="dxa"/>
            <w:vAlign w:val="center"/>
          </w:tcPr>
          <w:p>
            <w:pPr>
              <w:pStyle w:val="11"/>
              <w:widowControl w:val="0"/>
              <w:spacing w:line="240" w:lineRule="auto"/>
              <w:ind w:firstLine="0" w:firstLineChars="0"/>
              <w:jc w:val="left"/>
              <w:rPr>
                <w:rFonts w:ascii="仿宋" w:hAnsi="仿宋" w:eastAsia="仿宋" w:cs="仿宋"/>
                <w:sz w:val="24"/>
                <w:szCs w:val="24"/>
              </w:rPr>
            </w:pPr>
            <w:r>
              <w:rPr>
                <w:rFonts w:hint="eastAsia" w:ascii="仿宋" w:hAnsi="仿宋" w:eastAsia="仿宋" w:cs="仿宋"/>
                <w:sz w:val="24"/>
                <w:szCs w:val="24"/>
              </w:rPr>
              <w:t>具有与经营业务和服务规模相适应的维修保养能力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center"/>
          </w:tcPr>
          <w:p>
            <w:pPr>
              <w:pStyle w:val="11"/>
              <w:widowControl w:val="0"/>
              <w:spacing w:line="240" w:lineRule="auto"/>
              <w:ind w:firstLine="0" w:firstLineChars="0"/>
              <w:jc w:val="center"/>
              <w:rPr>
                <w:rFonts w:ascii="仿宋" w:hAnsi="仿宋" w:eastAsia="仿宋" w:cs="仿宋"/>
                <w:sz w:val="24"/>
                <w:szCs w:val="24"/>
              </w:rPr>
            </w:pPr>
            <w:r>
              <w:rPr>
                <w:rFonts w:hint="eastAsia" w:ascii="仿宋" w:hAnsi="仿宋" w:eastAsia="仿宋" w:cs="仿宋"/>
                <w:sz w:val="24"/>
                <w:szCs w:val="24"/>
              </w:rPr>
              <w:t>e</w:t>
            </w:r>
          </w:p>
        </w:tc>
        <w:tc>
          <w:tcPr>
            <w:tcW w:w="8610" w:type="dxa"/>
            <w:vAlign w:val="center"/>
          </w:tcPr>
          <w:p>
            <w:pPr>
              <w:pStyle w:val="11"/>
              <w:widowControl w:val="0"/>
              <w:spacing w:line="240" w:lineRule="auto"/>
              <w:ind w:firstLine="0" w:firstLineChars="0"/>
              <w:jc w:val="left"/>
              <w:rPr>
                <w:rFonts w:ascii="仿宋" w:hAnsi="仿宋" w:eastAsia="仿宋" w:cs="仿宋"/>
                <w:sz w:val="24"/>
                <w:szCs w:val="24"/>
              </w:rPr>
            </w:pPr>
            <w:r>
              <w:rPr>
                <w:rFonts w:hint="eastAsia" w:ascii="仿宋" w:hAnsi="仿宋" w:eastAsia="仿宋" w:cs="仿宋"/>
                <w:sz w:val="24"/>
                <w:szCs w:val="24"/>
              </w:rPr>
              <w:t>拥有固定的营业场所或相应的场地和相关专业设备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center"/>
          </w:tcPr>
          <w:p>
            <w:pPr>
              <w:pStyle w:val="11"/>
              <w:widowControl w:val="0"/>
              <w:spacing w:line="240" w:lineRule="auto"/>
              <w:ind w:firstLine="0" w:firstLineChars="0"/>
              <w:jc w:val="center"/>
              <w:rPr>
                <w:rFonts w:ascii="仿宋" w:hAnsi="仿宋" w:eastAsia="仿宋" w:cs="仿宋"/>
                <w:sz w:val="24"/>
                <w:szCs w:val="24"/>
              </w:rPr>
            </w:pPr>
            <w:r>
              <w:rPr>
                <w:rFonts w:hint="eastAsia" w:ascii="仿宋" w:hAnsi="仿宋" w:eastAsia="仿宋" w:cs="仿宋"/>
                <w:sz w:val="24"/>
                <w:szCs w:val="24"/>
              </w:rPr>
              <w:t>f</w:t>
            </w:r>
          </w:p>
        </w:tc>
        <w:tc>
          <w:tcPr>
            <w:tcW w:w="8610" w:type="dxa"/>
            <w:vAlign w:val="center"/>
          </w:tcPr>
          <w:p>
            <w:pPr>
              <w:pStyle w:val="11"/>
              <w:widowControl w:val="0"/>
              <w:spacing w:line="240" w:lineRule="auto"/>
              <w:ind w:firstLine="0" w:firstLineChars="0"/>
              <w:jc w:val="left"/>
              <w:rPr>
                <w:rFonts w:ascii="仿宋" w:hAnsi="仿宋" w:eastAsia="仿宋" w:cs="仿宋"/>
                <w:sz w:val="24"/>
                <w:szCs w:val="24"/>
              </w:rPr>
            </w:pPr>
            <w:r>
              <w:rPr>
                <w:rFonts w:hint="eastAsia" w:ascii="仿宋" w:hAnsi="仿宋" w:eastAsia="仿宋" w:cs="仿宋"/>
                <w:sz w:val="24"/>
                <w:szCs w:val="24"/>
              </w:rPr>
              <w:t>具有相应套数的冷媒回收装置和冷媒回收与再利用工艺文件</w:t>
            </w:r>
          </w:p>
        </w:tc>
      </w:tr>
    </w:tbl>
    <w:p>
      <w:pPr>
        <w:pStyle w:val="12"/>
        <w:numPr>
          <w:ilvl w:val="2"/>
          <w:numId w:val="0"/>
        </w:numPr>
        <w:spacing w:before="156" w:after="156" w:line="240" w:lineRule="auto"/>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I级能力应同时具备的条件</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7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pPr>
              <w:pStyle w:val="11"/>
              <w:widowControl w:val="0"/>
              <w:spacing w:line="240" w:lineRule="auto"/>
              <w:ind w:firstLine="0" w:firstLineChars="0"/>
              <w:jc w:val="center"/>
              <w:rPr>
                <w:rFonts w:ascii="仿宋" w:hAnsi="仿宋" w:eastAsia="仿宋" w:cs="仿宋"/>
                <w:sz w:val="24"/>
                <w:szCs w:val="24"/>
              </w:rPr>
            </w:pPr>
            <w:r>
              <w:rPr>
                <w:rFonts w:hint="eastAsia" w:ascii="仿宋" w:hAnsi="仿宋" w:eastAsia="仿宋" w:cs="仿宋"/>
                <w:sz w:val="24"/>
                <w:szCs w:val="24"/>
              </w:rPr>
              <w:t>a</w:t>
            </w:r>
          </w:p>
        </w:tc>
        <w:tc>
          <w:tcPr>
            <w:tcW w:w="7868" w:type="dxa"/>
            <w:vAlign w:val="center"/>
          </w:tcPr>
          <w:p>
            <w:pPr>
              <w:pStyle w:val="11"/>
              <w:widowControl w:val="0"/>
              <w:spacing w:line="240" w:lineRule="auto"/>
              <w:ind w:firstLine="0" w:firstLineChars="0"/>
              <w:jc w:val="left"/>
              <w:rPr>
                <w:rFonts w:ascii="仿宋" w:hAnsi="仿宋" w:eastAsia="仿宋" w:cs="仿宋"/>
                <w:sz w:val="24"/>
                <w:szCs w:val="24"/>
              </w:rPr>
            </w:pPr>
            <w:r>
              <w:rPr>
                <w:rFonts w:hint="eastAsia" w:ascii="仿宋" w:hAnsi="仿宋" w:eastAsia="仿宋" w:cs="仿宋"/>
                <w:color w:val="000000" w:themeColor="text1"/>
                <w:sz w:val="24"/>
                <w:szCs w:val="24"/>
                <w14:textFill>
                  <w14:solidFill>
                    <w14:schemeClr w14:val="tx1"/>
                  </w14:solidFill>
                </w14:textFill>
              </w:rPr>
              <w:t>注册资金人民币300万元（含）以上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pPr>
              <w:pStyle w:val="11"/>
              <w:widowControl w:val="0"/>
              <w:spacing w:line="240" w:lineRule="auto"/>
              <w:ind w:firstLine="0" w:firstLineChars="0"/>
              <w:jc w:val="center"/>
              <w:rPr>
                <w:rFonts w:ascii="仿宋" w:hAnsi="仿宋" w:eastAsia="仿宋" w:cs="仿宋"/>
                <w:sz w:val="24"/>
                <w:szCs w:val="24"/>
              </w:rPr>
            </w:pPr>
            <w:r>
              <w:rPr>
                <w:rFonts w:hint="eastAsia" w:ascii="仿宋" w:hAnsi="仿宋" w:eastAsia="仿宋" w:cs="仿宋"/>
                <w:sz w:val="24"/>
                <w:szCs w:val="24"/>
              </w:rPr>
              <w:t>b</w:t>
            </w:r>
          </w:p>
        </w:tc>
        <w:tc>
          <w:tcPr>
            <w:tcW w:w="7868" w:type="dxa"/>
            <w:vAlign w:val="center"/>
          </w:tcPr>
          <w:p>
            <w:pPr>
              <w:pStyle w:val="11"/>
              <w:widowControl w:val="0"/>
              <w:spacing w:line="240" w:lineRule="auto"/>
              <w:ind w:firstLine="0" w:firstLineChars="0"/>
              <w:jc w:val="left"/>
              <w:rPr>
                <w:rFonts w:ascii="仿宋" w:hAnsi="仿宋" w:eastAsia="仿宋" w:cs="仿宋"/>
                <w:sz w:val="24"/>
                <w:szCs w:val="24"/>
              </w:rPr>
            </w:pPr>
            <w:r>
              <w:rPr>
                <w:rFonts w:hint="eastAsia" w:ascii="仿宋" w:hAnsi="仿宋" w:eastAsia="仿宋" w:cs="仿宋"/>
                <w:color w:val="000000" w:themeColor="text1"/>
                <w:sz w:val="24"/>
                <w:szCs w:val="24"/>
                <w14:textFill>
                  <w14:solidFill>
                    <w14:schemeClr w14:val="tx1"/>
                  </w14:solidFill>
                </w14:textFill>
              </w:rPr>
              <w:t>经营场所、办公场地面积达到300 ㎡（含）以上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pPr>
              <w:pStyle w:val="11"/>
              <w:widowControl w:val="0"/>
              <w:spacing w:line="240" w:lineRule="auto"/>
              <w:ind w:firstLine="0" w:firstLineChars="0"/>
              <w:jc w:val="center"/>
              <w:rPr>
                <w:rFonts w:ascii="仿宋" w:hAnsi="仿宋" w:eastAsia="仿宋" w:cs="仿宋"/>
                <w:sz w:val="24"/>
                <w:szCs w:val="24"/>
              </w:rPr>
            </w:pPr>
            <w:r>
              <w:rPr>
                <w:rFonts w:hint="eastAsia" w:ascii="仿宋" w:hAnsi="仿宋" w:eastAsia="仿宋" w:cs="仿宋"/>
                <w:sz w:val="24"/>
                <w:szCs w:val="24"/>
              </w:rPr>
              <w:t>c</w:t>
            </w:r>
          </w:p>
        </w:tc>
        <w:tc>
          <w:tcPr>
            <w:tcW w:w="7868" w:type="dxa"/>
            <w:vAlign w:val="center"/>
          </w:tcPr>
          <w:p>
            <w:pPr>
              <w:pStyle w:val="11"/>
              <w:widowControl w:val="0"/>
              <w:spacing w:line="240" w:lineRule="auto"/>
              <w:ind w:firstLine="0" w:firstLineChars="0"/>
              <w:jc w:val="left"/>
              <w:rPr>
                <w:rFonts w:ascii="仿宋" w:hAnsi="仿宋" w:eastAsia="仿宋" w:cs="仿宋"/>
                <w:sz w:val="24"/>
                <w:szCs w:val="24"/>
              </w:rPr>
            </w:pPr>
            <w:r>
              <w:rPr>
                <w:rFonts w:hint="eastAsia" w:ascii="仿宋" w:hAnsi="仿宋" w:eastAsia="仿宋" w:cs="仿宋"/>
                <w:color w:val="000000" w:themeColor="text1"/>
                <w:sz w:val="24"/>
                <w:szCs w:val="24"/>
                <w14:textFill>
                  <w14:solidFill>
                    <w14:schemeClr w14:val="tx1"/>
                  </w14:solidFill>
                </w14:textFill>
              </w:rPr>
              <w:t>具有满足需要的空调系统维修与保养工具、员工安全设备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pPr>
              <w:pStyle w:val="11"/>
              <w:widowControl w:val="0"/>
              <w:spacing w:line="240" w:lineRule="auto"/>
              <w:ind w:firstLine="0" w:firstLineChars="0"/>
              <w:jc w:val="center"/>
              <w:rPr>
                <w:rFonts w:ascii="仿宋" w:hAnsi="仿宋" w:eastAsia="仿宋" w:cs="仿宋"/>
                <w:sz w:val="24"/>
                <w:szCs w:val="24"/>
              </w:rPr>
            </w:pPr>
            <w:r>
              <w:rPr>
                <w:rFonts w:hint="eastAsia" w:ascii="仿宋" w:hAnsi="仿宋" w:eastAsia="仿宋" w:cs="仿宋"/>
                <w:sz w:val="24"/>
                <w:szCs w:val="24"/>
              </w:rPr>
              <w:t>d</w:t>
            </w:r>
          </w:p>
        </w:tc>
        <w:tc>
          <w:tcPr>
            <w:tcW w:w="7868" w:type="dxa"/>
            <w:vAlign w:val="center"/>
          </w:tcPr>
          <w:p>
            <w:pPr>
              <w:pStyle w:val="11"/>
              <w:widowControl w:val="0"/>
              <w:spacing w:line="240" w:lineRule="auto"/>
              <w:ind w:firstLine="0" w:firstLineChars="0"/>
              <w:jc w:val="left"/>
              <w:rPr>
                <w:rFonts w:ascii="仿宋" w:hAnsi="仿宋" w:eastAsia="仿宋" w:cs="仿宋"/>
                <w:sz w:val="24"/>
                <w:szCs w:val="24"/>
              </w:rPr>
            </w:pPr>
            <w:r>
              <w:rPr>
                <w:rFonts w:hint="eastAsia" w:ascii="仿宋" w:hAnsi="仿宋" w:eastAsia="仿宋" w:cs="仿宋"/>
                <w:color w:val="000000" w:themeColor="text1"/>
                <w:sz w:val="24"/>
                <w:szCs w:val="24"/>
                <w14:textFill>
                  <w14:solidFill>
                    <w14:schemeClr w14:val="tx1"/>
                  </w14:solidFill>
                </w14:textFill>
              </w:rPr>
              <w:t>工程技术人员8人（含）以上，其中，高级职称不少于1人，中级职称职称不少于4人，高压电工1人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pPr>
              <w:pStyle w:val="11"/>
              <w:widowControl w:val="0"/>
              <w:spacing w:line="240" w:lineRule="auto"/>
              <w:ind w:firstLine="0" w:firstLineChars="0"/>
              <w:jc w:val="center"/>
              <w:rPr>
                <w:rFonts w:ascii="仿宋" w:hAnsi="仿宋" w:eastAsia="仿宋" w:cs="仿宋"/>
                <w:sz w:val="24"/>
                <w:szCs w:val="24"/>
              </w:rPr>
            </w:pPr>
            <w:r>
              <w:rPr>
                <w:rFonts w:hint="eastAsia" w:ascii="仿宋" w:hAnsi="仿宋" w:eastAsia="仿宋" w:cs="仿宋"/>
                <w:sz w:val="24"/>
                <w:szCs w:val="24"/>
              </w:rPr>
              <w:t>e</w:t>
            </w:r>
          </w:p>
        </w:tc>
        <w:tc>
          <w:tcPr>
            <w:tcW w:w="7868" w:type="dxa"/>
            <w:vAlign w:val="center"/>
          </w:tcPr>
          <w:p>
            <w:pPr>
              <w:pStyle w:val="11"/>
              <w:widowControl w:val="0"/>
              <w:spacing w:line="240" w:lineRule="auto"/>
              <w:ind w:firstLine="0" w:firstLineChars="0"/>
              <w:jc w:val="left"/>
              <w:rPr>
                <w:rFonts w:ascii="仿宋" w:hAnsi="仿宋" w:eastAsia="仿宋" w:cs="仿宋"/>
                <w:sz w:val="24"/>
                <w:szCs w:val="24"/>
              </w:rPr>
            </w:pPr>
            <w:r>
              <w:rPr>
                <w:rFonts w:hint="eastAsia" w:ascii="仿宋" w:hAnsi="仿宋" w:eastAsia="仿宋" w:cs="仿宋"/>
                <w:color w:val="000000" w:themeColor="text1"/>
                <w:sz w:val="24"/>
                <w:szCs w:val="24"/>
                <w14:textFill>
                  <w14:solidFill>
                    <w14:schemeClr w14:val="tx1"/>
                  </w14:solidFill>
                </w14:textFill>
              </w:rPr>
              <w:t>技术工人20人（含）以上，其中持有效期内的电工上岗证技术工人不少于2人、制冷工上岗</w:t>
            </w:r>
            <w:r>
              <w:rPr>
                <w:rFonts w:hint="eastAsia" w:ascii="仿宋" w:hAnsi="仿宋" w:eastAsia="仿宋" w:cs="仿宋"/>
                <w:sz w:val="24"/>
                <w:szCs w:val="24"/>
              </w:rPr>
              <w:t>证技术工人不少于4人，特种作业的高处作业人员不少于2人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exact"/>
        </w:trPr>
        <w:tc>
          <w:tcPr>
            <w:tcW w:w="654" w:type="dxa"/>
            <w:vAlign w:val="center"/>
          </w:tcPr>
          <w:p>
            <w:pPr>
              <w:pStyle w:val="11"/>
              <w:widowControl w:val="0"/>
              <w:spacing w:line="240" w:lineRule="auto"/>
              <w:ind w:firstLine="0" w:firstLineChars="0"/>
              <w:jc w:val="center"/>
              <w:rPr>
                <w:rFonts w:ascii="仿宋" w:hAnsi="仿宋" w:eastAsia="仿宋" w:cs="仿宋"/>
                <w:sz w:val="24"/>
                <w:szCs w:val="24"/>
              </w:rPr>
            </w:pPr>
            <w:r>
              <w:rPr>
                <w:rFonts w:hint="eastAsia" w:ascii="仿宋" w:hAnsi="仿宋" w:eastAsia="仿宋" w:cs="仿宋"/>
                <w:sz w:val="24"/>
                <w:szCs w:val="24"/>
              </w:rPr>
              <w:t>f</w:t>
            </w:r>
          </w:p>
        </w:tc>
        <w:tc>
          <w:tcPr>
            <w:tcW w:w="7868" w:type="dxa"/>
            <w:vAlign w:val="center"/>
          </w:tcPr>
          <w:p>
            <w:pPr>
              <w:pStyle w:val="11"/>
              <w:widowControl w:val="0"/>
              <w:spacing w:line="240" w:lineRule="auto"/>
              <w:ind w:firstLine="0" w:firstLineChars="0"/>
              <w:jc w:val="left"/>
              <w:rPr>
                <w:rFonts w:ascii="仿宋" w:hAnsi="仿宋" w:eastAsia="仿宋" w:cs="仿宋"/>
                <w:sz w:val="24"/>
                <w:szCs w:val="24"/>
              </w:rPr>
            </w:pPr>
            <w:r>
              <w:rPr>
                <w:rFonts w:hint="eastAsia" w:ascii="仿宋" w:hAnsi="仿宋" w:eastAsia="仿宋" w:cs="仿宋"/>
                <w:sz w:val="24"/>
                <w:szCs w:val="24"/>
              </w:rPr>
              <w:t>企业主要负责人须经过安全培训，且持有安全生产监督管理部门颁发的合格证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654" w:type="dxa"/>
            <w:vAlign w:val="center"/>
          </w:tcPr>
          <w:p>
            <w:pPr>
              <w:pStyle w:val="11"/>
              <w:widowControl w:val="0"/>
              <w:spacing w:line="240" w:lineRule="auto"/>
              <w:ind w:firstLine="0" w:firstLineChars="0"/>
              <w:jc w:val="center"/>
              <w:rPr>
                <w:rFonts w:ascii="仿宋" w:hAnsi="仿宋" w:eastAsia="仿宋" w:cs="仿宋"/>
                <w:sz w:val="24"/>
                <w:szCs w:val="24"/>
              </w:rPr>
            </w:pPr>
            <w:r>
              <w:rPr>
                <w:rFonts w:hint="eastAsia" w:ascii="仿宋" w:hAnsi="仿宋" w:eastAsia="仿宋" w:cs="仿宋"/>
                <w:sz w:val="24"/>
                <w:szCs w:val="24"/>
              </w:rPr>
              <w:t>g</w:t>
            </w:r>
          </w:p>
        </w:tc>
        <w:tc>
          <w:tcPr>
            <w:tcW w:w="7868" w:type="dxa"/>
            <w:vAlign w:val="center"/>
          </w:tcPr>
          <w:p>
            <w:pPr>
              <w:pStyle w:val="13"/>
              <w:widowControl w:val="0"/>
              <w:numPr>
                <w:ilvl w:val="0"/>
                <w:numId w:val="0"/>
              </w:numPr>
              <w:spacing w:line="240" w:lineRule="auto"/>
              <w:jc w:val="left"/>
              <w:rPr>
                <w:rFonts w:ascii="仿宋" w:hAnsi="仿宋" w:eastAsia="仿宋" w:cs="仿宋"/>
                <w:sz w:val="24"/>
                <w:szCs w:val="24"/>
              </w:rPr>
            </w:pPr>
            <w:r>
              <w:rPr>
                <w:rFonts w:hint="eastAsia" w:ascii="仿宋" w:hAnsi="仿宋" w:eastAsia="仿宋" w:cs="仿宋"/>
                <w:sz w:val="24"/>
                <w:szCs w:val="24"/>
              </w:rPr>
              <w:t>上一年度中央空调维修保养合同营业额200万元（含）以上，其中，制冷量1000 kW或空调面积1000 ㎡以上维修保养业务两项以上；能独立承担4种（含）以上主机（压缩机）各类和系统设备的维修保养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pPr>
              <w:pStyle w:val="11"/>
              <w:widowControl w:val="0"/>
              <w:spacing w:line="240" w:lineRule="auto"/>
              <w:ind w:firstLine="0" w:firstLineChars="0"/>
              <w:jc w:val="center"/>
              <w:rPr>
                <w:rFonts w:ascii="仿宋" w:hAnsi="仿宋" w:eastAsia="仿宋" w:cs="仿宋"/>
                <w:sz w:val="24"/>
                <w:szCs w:val="24"/>
              </w:rPr>
            </w:pPr>
            <w:r>
              <w:rPr>
                <w:rFonts w:hint="eastAsia" w:ascii="仿宋" w:hAnsi="仿宋" w:eastAsia="仿宋" w:cs="仿宋"/>
                <w:sz w:val="24"/>
                <w:szCs w:val="24"/>
              </w:rPr>
              <w:t>h</w:t>
            </w:r>
          </w:p>
        </w:tc>
        <w:tc>
          <w:tcPr>
            <w:tcW w:w="7868" w:type="dxa"/>
            <w:vAlign w:val="center"/>
          </w:tcPr>
          <w:p>
            <w:pPr>
              <w:pStyle w:val="11"/>
              <w:widowControl w:val="0"/>
              <w:spacing w:line="240" w:lineRule="auto"/>
              <w:ind w:firstLine="0" w:firstLineChars="0"/>
              <w:jc w:val="left"/>
              <w:rPr>
                <w:rFonts w:ascii="仿宋" w:hAnsi="仿宋" w:eastAsia="仿宋" w:cs="仿宋"/>
                <w:sz w:val="24"/>
                <w:szCs w:val="24"/>
              </w:rPr>
            </w:pPr>
            <w:r>
              <w:rPr>
                <w:rFonts w:hint="eastAsia" w:ascii="仿宋" w:hAnsi="仿宋" w:eastAsia="仿宋" w:cs="仿宋"/>
                <w:sz w:val="24"/>
                <w:szCs w:val="24"/>
              </w:rPr>
              <w:t>企业应该为员工购买社会保险或雇主责任险、团体人身伤害意外险（至少涵盖所列出的工程技术人员和技术工人）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pPr>
              <w:pStyle w:val="11"/>
              <w:widowControl w:val="0"/>
              <w:spacing w:line="240" w:lineRule="auto"/>
              <w:ind w:firstLine="0" w:firstLineChars="0"/>
              <w:jc w:val="center"/>
              <w:rPr>
                <w:rFonts w:ascii="仿宋" w:hAnsi="仿宋" w:eastAsia="仿宋" w:cs="仿宋"/>
                <w:sz w:val="24"/>
                <w:szCs w:val="24"/>
              </w:rPr>
            </w:pPr>
            <w:r>
              <w:rPr>
                <w:rFonts w:hint="eastAsia" w:ascii="仿宋" w:hAnsi="仿宋" w:eastAsia="仿宋" w:cs="仿宋"/>
                <w:sz w:val="24"/>
                <w:szCs w:val="24"/>
              </w:rPr>
              <w:t>i</w:t>
            </w:r>
          </w:p>
        </w:tc>
        <w:tc>
          <w:tcPr>
            <w:tcW w:w="7868" w:type="dxa"/>
            <w:vAlign w:val="center"/>
          </w:tcPr>
          <w:p>
            <w:pPr>
              <w:pStyle w:val="13"/>
              <w:widowControl w:val="0"/>
              <w:numPr>
                <w:ilvl w:val="0"/>
                <w:numId w:val="0"/>
              </w:numPr>
              <w:spacing w:line="240" w:lineRule="auto"/>
              <w:jc w:val="left"/>
              <w:rPr>
                <w:rFonts w:ascii="仿宋" w:hAnsi="仿宋" w:eastAsia="仿宋" w:cs="仿宋"/>
                <w:sz w:val="24"/>
                <w:szCs w:val="24"/>
              </w:rPr>
            </w:pPr>
            <w:r>
              <w:rPr>
                <w:rFonts w:hint="eastAsia" w:ascii="仿宋" w:hAnsi="仿宋" w:eastAsia="仿宋" w:cs="仿宋"/>
                <w:sz w:val="24"/>
                <w:szCs w:val="24"/>
              </w:rPr>
              <w:t>应通过GB/T 19001 质量管理体系认证，有较规范的服务体系和良好的企业形象</w:t>
            </w:r>
          </w:p>
        </w:tc>
      </w:tr>
    </w:tbl>
    <w:p>
      <w:pPr>
        <w:pStyle w:val="15"/>
        <w:numPr>
          <w:ilvl w:val="3"/>
          <w:numId w:val="0"/>
        </w:numPr>
        <w:spacing w:before="156" w:after="156" w:line="240" w:lineRule="auto"/>
        <w:jc w:val="center"/>
        <w:rPr>
          <w:rFonts w:ascii="仿宋" w:hAnsi="仿宋" w:eastAsia="仿宋" w:cs="仿宋"/>
          <w:sz w:val="32"/>
          <w:szCs w:val="32"/>
        </w:rPr>
      </w:pPr>
      <w:r>
        <w:rPr>
          <w:rFonts w:hint="eastAsia" w:ascii="宋体" w:hAnsi="宋体" w:eastAsia="宋体" w:cs="宋体"/>
          <w:sz w:val="32"/>
          <w:szCs w:val="32"/>
        </w:rPr>
        <w:t>Ⅱ</w:t>
      </w:r>
      <w:r>
        <w:rPr>
          <w:rFonts w:hint="eastAsia" w:ascii="仿宋" w:hAnsi="仿宋" w:eastAsia="仿宋" w:cs="仿宋"/>
          <w:sz w:val="32"/>
          <w:szCs w:val="32"/>
        </w:rPr>
        <w:t>级能力应同时具备的条件</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7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Pr>
          <w:p>
            <w:pPr>
              <w:pStyle w:val="11"/>
              <w:widowControl w:val="0"/>
              <w:spacing w:line="240" w:lineRule="auto"/>
              <w:ind w:firstLine="0" w:firstLineChars="0"/>
              <w:jc w:val="center"/>
              <w:rPr>
                <w:rFonts w:ascii="仿宋" w:hAnsi="仿宋" w:eastAsia="仿宋" w:cs="仿宋"/>
                <w:sz w:val="24"/>
                <w:szCs w:val="24"/>
              </w:rPr>
            </w:pPr>
            <w:r>
              <w:rPr>
                <w:rFonts w:hint="eastAsia" w:ascii="仿宋" w:hAnsi="仿宋" w:eastAsia="仿宋" w:cs="仿宋"/>
                <w:sz w:val="24"/>
                <w:szCs w:val="24"/>
              </w:rPr>
              <w:t>a</w:t>
            </w:r>
          </w:p>
        </w:tc>
        <w:tc>
          <w:tcPr>
            <w:tcW w:w="7853" w:type="dxa"/>
          </w:tcPr>
          <w:p>
            <w:pPr>
              <w:pStyle w:val="11"/>
              <w:widowControl w:val="0"/>
              <w:spacing w:line="240" w:lineRule="auto"/>
              <w:ind w:firstLine="0" w:firstLineChars="0"/>
              <w:rPr>
                <w:rFonts w:ascii="仿宋" w:hAnsi="仿宋" w:eastAsia="仿宋" w:cs="仿宋"/>
                <w:sz w:val="24"/>
                <w:szCs w:val="24"/>
              </w:rPr>
            </w:pPr>
            <w:r>
              <w:rPr>
                <w:rFonts w:hint="eastAsia" w:ascii="仿宋" w:hAnsi="仿宋" w:eastAsia="仿宋" w:cs="仿宋"/>
                <w:sz w:val="24"/>
                <w:szCs w:val="24"/>
              </w:rPr>
              <w:t>注册资金人</w:t>
            </w:r>
            <w:r>
              <w:rPr>
                <w:rFonts w:hint="eastAsia" w:ascii="仿宋" w:hAnsi="仿宋" w:eastAsia="仿宋" w:cs="仿宋"/>
                <w:color w:val="000000" w:themeColor="text1"/>
                <w:sz w:val="24"/>
                <w:szCs w:val="24"/>
                <w14:textFill>
                  <w14:solidFill>
                    <w14:schemeClr w14:val="tx1"/>
                  </w14:solidFill>
                </w14:textFill>
              </w:rPr>
              <w:t>民币200万元（含）以上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pStyle w:val="11"/>
              <w:widowControl w:val="0"/>
              <w:spacing w:line="240" w:lineRule="auto"/>
              <w:ind w:firstLine="0" w:firstLineChars="0"/>
              <w:jc w:val="center"/>
              <w:rPr>
                <w:rFonts w:ascii="仿宋" w:hAnsi="仿宋" w:eastAsia="仿宋" w:cs="仿宋"/>
                <w:sz w:val="24"/>
                <w:szCs w:val="24"/>
              </w:rPr>
            </w:pPr>
            <w:r>
              <w:rPr>
                <w:rFonts w:hint="eastAsia" w:ascii="仿宋" w:hAnsi="仿宋" w:eastAsia="仿宋" w:cs="仿宋"/>
                <w:sz w:val="24"/>
                <w:szCs w:val="24"/>
              </w:rPr>
              <w:t>b</w:t>
            </w:r>
          </w:p>
        </w:tc>
        <w:tc>
          <w:tcPr>
            <w:tcW w:w="7853" w:type="dxa"/>
          </w:tcPr>
          <w:p>
            <w:pPr>
              <w:pStyle w:val="11"/>
              <w:widowControl w:val="0"/>
              <w:spacing w:line="240" w:lineRule="auto"/>
              <w:ind w:firstLine="0" w:firstLineChars="0"/>
              <w:rPr>
                <w:rFonts w:ascii="仿宋" w:hAnsi="仿宋" w:eastAsia="仿宋" w:cs="仿宋"/>
                <w:sz w:val="24"/>
                <w:szCs w:val="24"/>
              </w:rPr>
            </w:pPr>
            <w:r>
              <w:rPr>
                <w:rFonts w:hint="eastAsia" w:ascii="仿宋" w:hAnsi="仿宋" w:eastAsia="仿宋" w:cs="仿宋"/>
                <w:color w:val="000000" w:themeColor="text1"/>
                <w:sz w:val="24"/>
                <w:szCs w:val="24"/>
                <w14:textFill>
                  <w14:solidFill>
                    <w14:schemeClr w14:val="tx1"/>
                  </w14:solidFill>
                </w14:textFill>
              </w:rPr>
              <w:t>经营场所、场地面积达到150 ㎡（含）以上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pStyle w:val="11"/>
              <w:widowControl w:val="0"/>
              <w:spacing w:line="240" w:lineRule="auto"/>
              <w:ind w:firstLine="0" w:firstLineChars="0"/>
              <w:jc w:val="center"/>
              <w:rPr>
                <w:rFonts w:ascii="仿宋" w:hAnsi="仿宋" w:eastAsia="仿宋" w:cs="仿宋"/>
                <w:sz w:val="24"/>
                <w:szCs w:val="24"/>
              </w:rPr>
            </w:pPr>
            <w:r>
              <w:rPr>
                <w:rFonts w:hint="eastAsia" w:ascii="仿宋" w:hAnsi="仿宋" w:eastAsia="仿宋" w:cs="仿宋"/>
                <w:sz w:val="24"/>
                <w:szCs w:val="24"/>
              </w:rPr>
              <w:t>c</w:t>
            </w:r>
          </w:p>
        </w:tc>
        <w:tc>
          <w:tcPr>
            <w:tcW w:w="7853" w:type="dxa"/>
          </w:tcPr>
          <w:p>
            <w:pPr>
              <w:pStyle w:val="11"/>
              <w:widowControl w:val="0"/>
              <w:spacing w:line="240" w:lineRule="auto"/>
              <w:ind w:firstLine="0" w:firstLineChars="0"/>
              <w:rPr>
                <w:rFonts w:ascii="仿宋" w:hAnsi="仿宋" w:eastAsia="仿宋" w:cs="仿宋"/>
                <w:sz w:val="24"/>
                <w:szCs w:val="24"/>
              </w:rPr>
            </w:pPr>
            <w:r>
              <w:rPr>
                <w:rFonts w:hint="eastAsia" w:ascii="仿宋" w:hAnsi="仿宋" w:eastAsia="仿宋" w:cs="仿宋"/>
                <w:color w:val="000000" w:themeColor="text1"/>
                <w:sz w:val="24"/>
                <w:szCs w:val="24"/>
                <w14:textFill>
                  <w14:solidFill>
                    <w14:schemeClr w14:val="tx1"/>
                  </w14:solidFill>
                </w14:textFill>
              </w:rPr>
              <w:t>具有满足需要的空调系统维修与保养工具、员工安全设备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pStyle w:val="11"/>
              <w:widowControl w:val="0"/>
              <w:spacing w:line="240" w:lineRule="auto"/>
              <w:ind w:firstLine="0" w:firstLineChars="0"/>
              <w:jc w:val="center"/>
              <w:rPr>
                <w:rFonts w:ascii="仿宋" w:hAnsi="仿宋" w:eastAsia="仿宋" w:cs="仿宋"/>
                <w:sz w:val="24"/>
                <w:szCs w:val="24"/>
              </w:rPr>
            </w:pPr>
            <w:r>
              <w:rPr>
                <w:rFonts w:hint="eastAsia" w:ascii="仿宋" w:hAnsi="仿宋" w:eastAsia="仿宋" w:cs="仿宋"/>
                <w:sz w:val="24"/>
                <w:szCs w:val="24"/>
              </w:rPr>
              <w:t>d</w:t>
            </w:r>
          </w:p>
        </w:tc>
        <w:tc>
          <w:tcPr>
            <w:tcW w:w="7853" w:type="dxa"/>
          </w:tcPr>
          <w:p>
            <w:pPr>
              <w:pStyle w:val="11"/>
              <w:widowControl w:val="0"/>
              <w:spacing w:line="240" w:lineRule="auto"/>
              <w:ind w:firstLine="0" w:firstLineChars="0"/>
              <w:rPr>
                <w:rFonts w:ascii="仿宋" w:hAnsi="仿宋" w:eastAsia="仿宋" w:cs="仿宋"/>
                <w:sz w:val="24"/>
                <w:szCs w:val="24"/>
              </w:rPr>
            </w:pPr>
            <w:r>
              <w:rPr>
                <w:rFonts w:hint="eastAsia" w:ascii="仿宋" w:hAnsi="仿宋" w:eastAsia="仿宋" w:cs="仿宋"/>
                <w:color w:val="000000" w:themeColor="text1"/>
                <w:sz w:val="24"/>
                <w:szCs w:val="24"/>
                <w14:textFill>
                  <w14:solidFill>
                    <w14:schemeClr w14:val="tx1"/>
                  </w14:solidFill>
                </w14:textFill>
              </w:rPr>
              <w:t>工程技术人员3人（含）</w:t>
            </w:r>
            <w:r>
              <w:rPr>
                <w:rFonts w:hint="eastAsia" w:ascii="仿宋" w:hAnsi="仿宋" w:eastAsia="仿宋" w:cs="仿宋"/>
                <w:sz w:val="24"/>
                <w:szCs w:val="24"/>
              </w:rPr>
              <w:t>以上，其中，中级职称不少于1人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9" w:type="dxa"/>
            <w:vAlign w:val="center"/>
          </w:tcPr>
          <w:p>
            <w:pPr>
              <w:pStyle w:val="11"/>
              <w:widowControl w:val="0"/>
              <w:spacing w:line="240" w:lineRule="auto"/>
              <w:ind w:firstLine="0" w:firstLineChars="0"/>
              <w:jc w:val="center"/>
              <w:rPr>
                <w:rFonts w:ascii="仿宋" w:hAnsi="仿宋" w:eastAsia="仿宋" w:cs="仿宋"/>
                <w:sz w:val="24"/>
                <w:szCs w:val="24"/>
              </w:rPr>
            </w:pPr>
            <w:r>
              <w:rPr>
                <w:rFonts w:hint="eastAsia" w:ascii="仿宋" w:hAnsi="仿宋" w:eastAsia="仿宋" w:cs="仿宋"/>
                <w:sz w:val="24"/>
                <w:szCs w:val="24"/>
              </w:rPr>
              <w:t>e</w:t>
            </w:r>
          </w:p>
        </w:tc>
        <w:tc>
          <w:tcPr>
            <w:tcW w:w="7853" w:type="dxa"/>
          </w:tcPr>
          <w:p>
            <w:pPr>
              <w:pStyle w:val="13"/>
              <w:widowControl w:val="0"/>
              <w:numPr>
                <w:ilvl w:val="0"/>
                <w:numId w:val="0"/>
              </w:numPr>
              <w:spacing w:line="240" w:lineRule="auto"/>
              <w:rPr>
                <w:rFonts w:ascii="仿宋" w:hAnsi="仿宋" w:eastAsia="仿宋" w:cs="仿宋"/>
                <w:sz w:val="24"/>
                <w:szCs w:val="24"/>
              </w:rPr>
            </w:pPr>
            <w:r>
              <w:rPr>
                <w:rFonts w:hint="eastAsia" w:ascii="仿宋" w:hAnsi="仿宋" w:eastAsia="仿宋" w:cs="仿宋"/>
                <w:sz w:val="24"/>
                <w:szCs w:val="24"/>
              </w:rPr>
              <w:t>技术工人8人（含）以上，其中持有效期内的电工上岗证技术工人不少于1人、制冷工上岗证技术工人不少于2人，特种作业的高处作业人员不少于1人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669" w:type="dxa"/>
            <w:vAlign w:val="center"/>
          </w:tcPr>
          <w:p>
            <w:pPr>
              <w:pStyle w:val="11"/>
              <w:widowControl w:val="0"/>
              <w:spacing w:line="240" w:lineRule="auto"/>
              <w:ind w:firstLine="0" w:firstLineChars="0"/>
              <w:jc w:val="center"/>
              <w:rPr>
                <w:rFonts w:ascii="仿宋" w:hAnsi="仿宋" w:eastAsia="仿宋" w:cs="仿宋"/>
                <w:sz w:val="24"/>
                <w:szCs w:val="24"/>
              </w:rPr>
            </w:pPr>
            <w:r>
              <w:rPr>
                <w:rFonts w:hint="eastAsia" w:ascii="仿宋" w:hAnsi="仿宋" w:eastAsia="仿宋" w:cs="仿宋"/>
                <w:sz w:val="24"/>
                <w:szCs w:val="24"/>
              </w:rPr>
              <w:t>f</w:t>
            </w:r>
          </w:p>
        </w:tc>
        <w:tc>
          <w:tcPr>
            <w:tcW w:w="7853" w:type="dxa"/>
          </w:tcPr>
          <w:p>
            <w:pPr>
              <w:pStyle w:val="13"/>
              <w:widowControl w:val="0"/>
              <w:numPr>
                <w:ilvl w:val="0"/>
                <w:numId w:val="0"/>
              </w:numPr>
              <w:spacing w:line="240" w:lineRule="auto"/>
              <w:rPr>
                <w:rFonts w:ascii="仿宋" w:hAnsi="仿宋" w:eastAsia="仿宋" w:cs="仿宋"/>
                <w:sz w:val="24"/>
                <w:szCs w:val="24"/>
              </w:rPr>
            </w:pPr>
            <w:r>
              <w:rPr>
                <w:rFonts w:hint="eastAsia" w:ascii="仿宋" w:hAnsi="仿宋" w:eastAsia="仿宋" w:cs="仿宋"/>
                <w:sz w:val="24"/>
                <w:szCs w:val="24"/>
              </w:rPr>
              <w:t>上一年度中央空调维修保养合同金额100万元（含）以上，其中，制冷量200 kW或空调面积超过500 ㎡以上维修保养业务两项以上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pStyle w:val="11"/>
              <w:widowControl w:val="0"/>
              <w:spacing w:line="240" w:lineRule="auto"/>
              <w:ind w:firstLine="0" w:firstLineChars="0"/>
              <w:jc w:val="center"/>
              <w:rPr>
                <w:rFonts w:ascii="仿宋" w:hAnsi="仿宋" w:eastAsia="仿宋" w:cs="仿宋"/>
                <w:sz w:val="24"/>
                <w:szCs w:val="24"/>
              </w:rPr>
            </w:pPr>
            <w:r>
              <w:rPr>
                <w:rFonts w:hint="eastAsia" w:ascii="仿宋" w:hAnsi="仿宋" w:eastAsia="仿宋" w:cs="仿宋"/>
                <w:sz w:val="24"/>
                <w:szCs w:val="24"/>
              </w:rPr>
              <w:t>g</w:t>
            </w:r>
          </w:p>
        </w:tc>
        <w:tc>
          <w:tcPr>
            <w:tcW w:w="7853" w:type="dxa"/>
          </w:tcPr>
          <w:p>
            <w:pPr>
              <w:pStyle w:val="13"/>
              <w:widowControl w:val="0"/>
              <w:numPr>
                <w:ilvl w:val="0"/>
                <w:numId w:val="0"/>
              </w:numPr>
              <w:spacing w:line="240" w:lineRule="auto"/>
              <w:rPr>
                <w:rFonts w:ascii="仿宋" w:hAnsi="仿宋" w:eastAsia="仿宋" w:cs="仿宋"/>
                <w:sz w:val="24"/>
                <w:szCs w:val="24"/>
              </w:rPr>
            </w:pPr>
            <w:r>
              <w:rPr>
                <w:rFonts w:hint="eastAsia" w:ascii="仿宋" w:hAnsi="仿宋" w:eastAsia="仿宋" w:cs="仿宋"/>
                <w:sz w:val="24"/>
                <w:szCs w:val="24"/>
              </w:rPr>
              <w:t>企业应该为员工购买社会保险或雇主责任险、团体人身伤害意外险（至少涵盖所列出的工程技术人员和技术工人）</w:t>
            </w:r>
          </w:p>
        </w:tc>
      </w:tr>
    </w:tbl>
    <w:p>
      <w:pPr>
        <w:pStyle w:val="15"/>
        <w:numPr>
          <w:ilvl w:val="3"/>
          <w:numId w:val="0"/>
        </w:numPr>
        <w:spacing w:before="156" w:after="156" w:line="240" w:lineRule="auto"/>
        <w:jc w:val="center"/>
        <w:rPr>
          <w:rFonts w:hint="eastAsia" w:ascii="仿宋" w:hAnsi="仿宋" w:eastAsia="仿宋" w:cs="仿宋"/>
          <w:sz w:val="32"/>
          <w:szCs w:val="32"/>
        </w:rPr>
      </w:pPr>
      <w:r>
        <w:rPr>
          <w:rFonts w:hint="eastAsia" w:ascii="仿宋" w:hAnsi="仿宋" w:eastAsia="仿宋" w:cs="仿宋"/>
          <w:sz w:val="32"/>
          <w:szCs w:val="32"/>
        </w:rPr>
        <w:t>Ⅲ级能力应具备的条件</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7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pStyle w:val="11"/>
              <w:widowControl w:val="0"/>
              <w:spacing w:line="240" w:lineRule="auto"/>
              <w:ind w:firstLine="0" w:firstLineChars="0"/>
              <w:jc w:val="center"/>
              <w:rPr>
                <w:rFonts w:ascii="仿宋" w:hAnsi="仿宋" w:eastAsia="仿宋" w:cs="仿宋"/>
                <w:sz w:val="24"/>
                <w:szCs w:val="24"/>
              </w:rPr>
            </w:pPr>
            <w:r>
              <w:rPr>
                <w:rFonts w:hint="eastAsia" w:ascii="仿宋" w:hAnsi="仿宋" w:eastAsia="仿宋" w:cs="仿宋"/>
                <w:sz w:val="24"/>
                <w:szCs w:val="24"/>
              </w:rPr>
              <w:t>a</w:t>
            </w:r>
          </w:p>
        </w:tc>
        <w:tc>
          <w:tcPr>
            <w:tcW w:w="7853" w:type="dxa"/>
            <w:vAlign w:val="center"/>
          </w:tcPr>
          <w:p>
            <w:pPr>
              <w:pStyle w:val="11"/>
              <w:widowControl w:val="0"/>
              <w:spacing w:line="240" w:lineRule="auto"/>
              <w:ind w:firstLine="0" w:firstLineChars="0"/>
              <w:jc w:val="left"/>
              <w:rPr>
                <w:rFonts w:ascii="仿宋" w:hAnsi="仿宋" w:eastAsia="仿宋" w:cs="仿宋"/>
                <w:sz w:val="24"/>
                <w:szCs w:val="24"/>
              </w:rPr>
            </w:pPr>
            <w:r>
              <w:rPr>
                <w:rFonts w:hint="eastAsia" w:ascii="仿宋" w:hAnsi="仿宋" w:eastAsia="仿宋" w:cs="仿宋"/>
                <w:sz w:val="24"/>
                <w:szCs w:val="24"/>
              </w:rPr>
              <w:t>注册资金</w:t>
            </w:r>
            <w:r>
              <w:rPr>
                <w:rFonts w:hint="eastAsia" w:ascii="仿宋" w:hAnsi="仿宋" w:eastAsia="仿宋" w:cs="仿宋"/>
                <w:color w:val="000000" w:themeColor="text1"/>
                <w:sz w:val="24"/>
                <w:szCs w:val="24"/>
                <w14:textFill>
                  <w14:solidFill>
                    <w14:schemeClr w14:val="tx1"/>
                  </w14:solidFill>
                </w14:textFill>
              </w:rPr>
              <w:t>人民币100万元（含）以上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pStyle w:val="11"/>
              <w:widowControl w:val="0"/>
              <w:spacing w:line="240" w:lineRule="auto"/>
              <w:ind w:firstLine="0" w:firstLineChars="0"/>
              <w:jc w:val="center"/>
              <w:rPr>
                <w:rFonts w:ascii="仿宋" w:hAnsi="仿宋" w:eastAsia="仿宋" w:cs="仿宋"/>
                <w:sz w:val="24"/>
                <w:szCs w:val="24"/>
              </w:rPr>
            </w:pPr>
            <w:r>
              <w:rPr>
                <w:rFonts w:hint="eastAsia" w:ascii="仿宋" w:hAnsi="仿宋" w:eastAsia="仿宋" w:cs="仿宋"/>
                <w:sz w:val="24"/>
                <w:szCs w:val="24"/>
              </w:rPr>
              <w:t>b</w:t>
            </w:r>
          </w:p>
        </w:tc>
        <w:tc>
          <w:tcPr>
            <w:tcW w:w="7853" w:type="dxa"/>
            <w:vAlign w:val="center"/>
          </w:tcPr>
          <w:p>
            <w:pPr>
              <w:pStyle w:val="11"/>
              <w:widowControl w:val="0"/>
              <w:spacing w:line="240" w:lineRule="auto"/>
              <w:ind w:firstLine="0" w:firstLineChars="0"/>
              <w:jc w:val="left"/>
              <w:rPr>
                <w:rFonts w:ascii="仿宋" w:hAnsi="仿宋" w:eastAsia="仿宋" w:cs="仿宋"/>
                <w:sz w:val="24"/>
                <w:szCs w:val="24"/>
              </w:rPr>
            </w:pPr>
            <w:r>
              <w:rPr>
                <w:rFonts w:hint="eastAsia" w:ascii="仿宋" w:hAnsi="仿宋" w:eastAsia="仿宋" w:cs="仿宋"/>
                <w:color w:val="000000" w:themeColor="text1"/>
                <w:sz w:val="24"/>
                <w:szCs w:val="24"/>
                <w14:textFill>
                  <w14:solidFill>
                    <w14:schemeClr w14:val="tx1"/>
                  </w14:solidFill>
                </w14:textFill>
              </w:rPr>
              <w:t>经营场所、场地面积达到30 ㎡（含）以上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pStyle w:val="11"/>
              <w:widowControl w:val="0"/>
              <w:spacing w:line="240" w:lineRule="auto"/>
              <w:ind w:firstLine="0" w:firstLineChars="0"/>
              <w:jc w:val="center"/>
              <w:rPr>
                <w:rFonts w:ascii="仿宋" w:hAnsi="仿宋" w:eastAsia="仿宋" w:cs="仿宋"/>
                <w:sz w:val="24"/>
                <w:szCs w:val="24"/>
              </w:rPr>
            </w:pPr>
            <w:r>
              <w:rPr>
                <w:rFonts w:hint="eastAsia" w:ascii="仿宋" w:hAnsi="仿宋" w:eastAsia="仿宋" w:cs="仿宋"/>
                <w:sz w:val="24"/>
                <w:szCs w:val="24"/>
              </w:rPr>
              <w:t>c</w:t>
            </w:r>
          </w:p>
        </w:tc>
        <w:tc>
          <w:tcPr>
            <w:tcW w:w="7853" w:type="dxa"/>
            <w:vAlign w:val="center"/>
          </w:tcPr>
          <w:p>
            <w:pPr>
              <w:pStyle w:val="13"/>
              <w:widowControl w:val="0"/>
              <w:numPr>
                <w:ilvl w:val="0"/>
                <w:numId w:val="0"/>
              </w:numPr>
              <w:spacing w:line="240" w:lineRule="auto"/>
              <w:jc w:val="left"/>
              <w:rPr>
                <w:rFonts w:ascii="仿宋" w:hAnsi="仿宋" w:eastAsia="仿宋" w:cs="仿宋"/>
                <w:sz w:val="24"/>
                <w:szCs w:val="24"/>
              </w:rPr>
            </w:pPr>
            <w:r>
              <w:rPr>
                <w:rFonts w:hint="eastAsia" w:ascii="仿宋" w:hAnsi="仿宋" w:eastAsia="仿宋" w:cs="仿宋"/>
                <w:color w:val="000000" w:themeColor="text1"/>
                <w:sz w:val="24"/>
                <w:szCs w:val="24"/>
                <w14:textFill>
                  <w14:solidFill>
                    <w14:schemeClr w14:val="tx1"/>
                  </w14:solidFill>
                </w14:textFill>
              </w:rPr>
              <w:t>具有满足需要的中央空调系统维修与保养工具、员工安全设备。至少应有：冷媒检漏仪、钳表、真空泵、万能表、工业吸尘器各一个，冷媒回收机及相关回收装置一套、小型焊具一套、电子秤、摇表、红外线温度计、噪音测量仪、压力水枪各一个、工具车一辆、吊装工具一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pStyle w:val="11"/>
              <w:widowControl w:val="0"/>
              <w:spacing w:line="240" w:lineRule="auto"/>
              <w:ind w:firstLine="0" w:firstLineChars="0"/>
              <w:jc w:val="center"/>
              <w:rPr>
                <w:rFonts w:ascii="仿宋" w:hAnsi="仿宋" w:eastAsia="仿宋" w:cs="仿宋"/>
                <w:sz w:val="24"/>
                <w:szCs w:val="24"/>
              </w:rPr>
            </w:pPr>
            <w:r>
              <w:rPr>
                <w:rFonts w:hint="eastAsia" w:ascii="仿宋" w:hAnsi="仿宋" w:eastAsia="仿宋" w:cs="仿宋"/>
                <w:sz w:val="24"/>
                <w:szCs w:val="24"/>
              </w:rPr>
              <w:t>d</w:t>
            </w:r>
          </w:p>
        </w:tc>
        <w:tc>
          <w:tcPr>
            <w:tcW w:w="7853" w:type="dxa"/>
            <w:vAlign w:val="center"/>
          </w:tcPr>
          <w:p>
            <w:pPr>
              <w:pStyle w:val="13"/>
              <w:widowControl w:val="0"/>
              <w:numPr>
                <w:ilvl w:val="0"/>
                <w:numId w:val="0"/>
              </w:numPr>
              <w:spacing w:line="240" w:lineRule="auto"/>
              <w:jc w:val="left"/>
              <w:rPr>
                <w:rFonts w:ascii="仿宋" w:hAnsi="仿宋" w:eastAsia="仿宋" w:cs="仿宋"/>
                <w:sz w:val="24"/>
                <w:szCs w:val="24"/>
              </w:rPr>
            </w:pPr>
            <w:r>
              <w:rPr>
                <w:rFonts w:hint="eastAsia" w:ascii="仿宋" w:hAnsi="仿宋" w:eastAsia="仿宋" w:cs="仿宋"/>
                <w:color w:val="000000" w:themeColor="text1"/>
                <w:sz w:val="24"/>
                <w:szCs w:val="24"/>
                <w14:textFill>
                  <w14:solidFill>
                    <w14:schemeClr w14:val="tx1"/>
                  </w14:solidFill>
                </w14:textFill>
              </w:rPr>
              <w:t>工程技术人员不少于1人（含）以上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pStyle w:val="11"/>
              <w:widowControl w:val="0"/>
              <w:spacing w:line="240" w:lineRule="auto"/>
              <w:ind w:firstLine="0" w:firstLineChars="0"/>
              <w:jc w:val="center"/>
              <w:rPr>
                <w:rFonts w:ascii="仿宋" w:hAnsi="仿宋" w:eastAsia="仿宋" w:cs="仿宋"/>
                <w:sz w:val="24"/>
                <w:szCs w:val="24"/>
              </w:rPr>
            </w:pPr>
            <w:r>
              <w:rPr>
                <w:rFonts w:hint="eastAsia" w:ascii="仿宋" w:hAnsi="仿宋" w:eastAsia="仿宋" w:cs="仿宋"/>
                <w:sz w:val="24"/>
                <w:szCs w:val="24"/>
              </w:rPr>
              <w:t>e</w:t>
            </w:r>
          </w:p>
        </w:tc>
        <w:tc>
          <w:tcPr>
            <w:tcW w:w="7853" w:type="dxa"/>
            <w:vAlign w:val="center"/>
          </w:tcPr>
          <w:p>
            <w:pPr>
              <w:pStyle w:val="13"/>
              <w:widowControl w:val="0"/>
              <w:numPr>
                <w:ilvl w:val="0"/>
                <w:numId w:val="0"/>
              </w:numPr>
              <w:spacing w:line="240" w:lineRule="auto"/>
              <w:jc w:val="left"/>
              <w:rPr>
                <w:rFonts w:ascii="仿宋" w:hAnsi="仿宋" w:eastAsia="仿宋" w:cs="仿宋"/>
                <w:sz w:val="24"/>
                <w:szCs w:val="24"/>
              </w:rPr>
            </w:pPr>
            <w:r>
              <w:rPr>
                <w:rFonts w:hint="eastAsia" w:ascii="仿宋" w:hAnsi="仿宋" w:eastAsia="仿宋" w:cs="仿宋"/>
                <w:color w:val="000000" w:themeColor="text1"/>
                <w:sz w:val="24"/>
                <w:szCs w:val="24"/>
                <w14:textFill>
                  <w14:solidFill>
                    <w14:schemeClr w14:val="tx1"/>
                  </w14:solidFill>
                </w14:textFill>
              </w:rPr>
              <w:t>技术工人3人（含）以上，其中持有效期内的电工上岗证、制冷工上岗证的技术工人各1人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pStyle w:val="11"/>
              <w:widowControl w:val="0"/>
              <w:spacing w:line="240" w:lineRule="auto"/>
              <w:ind w:firstLine="0" w:firstLineChars="0"/>
              <w:jc w:val="center"/>
              <w:rPr>
                <w:rFonts w:ascii="仿宋" w:hAnsi="仿宋" w:eastAsia="仿宋" w:cs="仿宋"/>
                <w:sz w:val="24"/>
                <w:szCs w:val="24"/>
              </w:rPr>
            </w:pPr>
            <w:r>
              <w:rPr>
                <w:rFonts w:hint="eastAsia" w:ascii="仿宋" w:hAnsi="仿宋" w:eastAsia="仿宋" w:cs="仿宋"/>
                <w:sz w:val="24"/>
                <w:szCs w:val="24"/>
              </w:rPr>
              <w:t>f</w:t>
            </w:r>
          </w:p>
        </w:tc>
        <w:tc>
          <w:tcPr>
            <w:tcW w:w="7853" w:type="dxa"/>
            <w:vAlign w:val="center"/>
          </w:tcPr>
          <w:p>
            <w:pPr>
              <w:pStyle w:val="13"/>
              <w:widowControl w:val="0"/>
              <w:numPr>
                <w:ilvl w:val="0"/>
                <w:numId w:val="0"/>
              </w:numPr>
              <w:spacing w:line="240" w:lineRule="auto"/>
              <w:jc w:val="left"/>
              <w:rPr>
                <w:rFonts w:ascii="仿宋" w:hAnsi="仿宋" w:eastAsia="仿宋" w:cs="仿宋"/>
                <w:sz w:val="24"/>
                <w:szCs w:val="24"/>
              </w:rPr>
            </w:pPr>
            <w:r>
              <w:rPr>
                <w:rFonts w:hint="eastAsia" w:ascii="仿宋" w:hAnsi="仿宋" w:eastAsia="仿宋" w:cs="仿宋"/>
                <w:color w:val="000000" w:themeColor="text1"/>
                <w:sz w:val="24"/>
                <w:szCs w:val="24"/>
                <w14:textFill>
                  <w14:solidFill>
                    <w14:schemeClr w14:val="tx1"/>
                  </w14:solidFill>
                </w14:textFill>
              </w:rPr>
              <w:t>企业应该为员工购买雇主责任险或团体人身伤害意外险（至少涵盖所列出的工程技术人员和技术工人）</w:t>
            </w:r>
          </w:p>
        </w:tc>
      </w:tr>
    </w:tbl>
    <w:p>
      <w:pPr>
        <w:pStyle w:val="11"/>
        <w:spacing w:line="240" w:lineRule="auto"/>
        <w:ind w:firstLine="720" w:firstLineChars="300"/>
        <w:rPr>
          <w:rFonts w:ascii="仿宋" w:hAnsi="仿宋" w:eastAsia="仿宋" w:cs="仿宋"/>
          <w:color w:val="000000" w:themeColor="text1"/>
          <w:sz w:val="24"/>
          <w:szCs w:val="24"/>
          <w14:textFill>
            <w14:solidFill>
              <w14:schemeClr w14:val="tx1"/>
            </w14:solidFill>
          </w14:textFill>
        </w:rPr>
      </w:pPr>
    </w:p>
    <w:p>
      <w:pPr>
        <w:widowControl/>
        <w:numPr>
          <w:ilvl w:val="0"/>
          <w:numId w:val="0"/>
        </w:numPr>
        <w:spacing w:line="240" w:lineRule="auto"/>
        <w:jc w:val="center"/>
        <w:rPr>
          <w:rFonts w:ascii="仿宋" w:hAnsi="仿宋" w:eastAsia="仿宋" w:cs="仿宋"/>
        </w:rPr>
      </w:pPr>
      <w:r>
        <w:rPr>
          <w:rFonts w:hint="eastAsia" w:ascii="黑体" w:hAnsi="黑体" w:eastAsia="黑体" w:cs="黑体"/>
          <w:color w:val="000000"/>
          <w:kern w:val="0"/>
          <w:sz w:val="32"/>
          <w:szCs w:val="32"/>
          <w:lang w:val="en-US" w:eastAsia="zh-CN" w:bidi="ar"/>
        </w:rPr>
        <w:t xml:space="preserve">第三章    </w:t>
      </w:r>
      <w:r>
        <w:rPr>
          <w:rFonts w:hint="eastAsia" w:ascii="黑体" w:hAnsi="黑体" w:eastAsia="黑体" w:cs="黑体"/>
          <w:color w:val="000000"/>
          <w:kern w:val="0"/>
          <w:sz w:val="32"/>
          <w:szCs w:val="32"/>
          <w:lang w:bidi="ar"/>
        </w:rPr>
        <w:t>企业申请资料的准备</w:t>
      </w:r>
    </w:p>
    <w:p>
      <w:pPr>
        <w:pStyle w:val="5"/>
        <w:widowControl/>
        <w:shd w:val="clear" w:color="auto" w:fill="FFFFFF"/>
        <w:spacing w:beforeAutospacing="0" w:afterAutospacing="0" w:line="240" w:lineRule="auto"/>
        <w:ind w:firstLine="675" w:firstLineChars="200"/>
        <w:rPr>
          <w:rFonts w:ascii="仿宋" w:hAnsi="仿宋" w:eastAsia="仿宋" w:cs="仿宋"/>
          <w:color w:val="222222"/>
          <w:spacing w:val="8"/>
          <w:sz w:val="32"/>
          <w:szCs w:val="32"/>
        </w:rPr>
      </w:pPr>
      <w:r>
        <w:rPr>
          <w:rFonts w:hint="eastAsia" w:ascii="仿宋" w:hAnsi="仿宋" w:eastAsia="仿宋" w:cs="仿宋"/>
          <w:b/>
          <w:bCs/>
          <w:spacing w:val="8"/>
          <w:sz w:val="32"/>
          <w:szCs w:val="32"/>
          <w:shd w:val="clear" w:color="auto" w:fill="FFFFFF"/>
        </w:rPr>
        <w:t>第</w:t>
      </w:r>
      <w:r>
        <w:rPr>
          <w:rFonts w:hint="eastAsia" w:ascii="仿宋" w:hAnsi="仿宋" w:eastAsia="仿宋" w:cs="仿宋"/>
          <w:b/>
          <w:bCs/>
          <w:spacing w:val="8"/>
          <w:sz w:val="32"/>
          <w:szCs w:val="32"/>
          <w:shd w:val="clear" w:color="auto" w:fill="FFFFFF"/>
          <w:lang w:val="en-US" w:eastAsia="zh-CN"/>
        </w:rPr>
        <w:t>六</w:t>
      </w:r>
      <w:r>
        <w:rPr>
          <w:rFonts w:hint="eastAsia" w:ascii="仿宋" w:hAnsi="仿宋" w:eastAsia="仿宋" w:cs="仿宋"/>
          <w:b/>
          <w:bCs/>
          <w:spacing w:val="8"/>
          <w:sz w:val="32"/>
          <w:szCs w:val="32"/>
          <w:shd w:val="clear" w:color="auto" w:fill="FFFFFF"/>
        </w:rPr>
        <w:t>条</w:t>
      </w:r>
      <w:r>
        <w:rPr>
          <w:rFonts w:hint="eastAsia" w:ascii="仿宋" w:hAnsi="仿宋" w:eastAsia="仿宋" w:cs="仿宋"/>
          <w:spacing w:val="8"/>
          <w:sz w:val="32"/>
          <w:szCs w:val="32"/>
          <w:shd w:val="clear" w:color="auto" w:fill="FFFFFF"/>
        </w:rPr>
        <w:t xml:space="preserve"> </w:t>
      </w:r>
      <w:r>
        <w:rPr>
          <w:rFonts w:hint="eastAsia" w:ascii="仿宋" w:hAnsi="仿宋" w:eastAsia="仿宋" w:cs="仿宋"/>
          <w:color w:val="222222"/>
          <w:spacing w:val="8"/>
          <w:sz w:val="32"/>
          <w:szCs w:val="32"/>
          <w:shd w:val="clear" w:color="auto" w:fill="FFFFFF"/>
        </w:rPr>
        <w:t>企业需要向协会秘书处提供以下申请资料完成申请。</w:t>
      </w:r>
    </w:p>
    <w:p>
      <w:pPr>
        <w:pStyle w:val="5"/>
        <w:widowControl/>
        <w:shd w:val="clear" w:color="auto" w:fill="FFFFFF"/>
        <w:spacing w:beforeAutospacing="0" w:afterAutospacing="0" w:line="240" w:lineRule="auto"/>
        <w:ind w:firstLine="672" w:firstLineChars="200"/>
        <w:rPr>
          <w:rFonts w:ascii="仿宋" w:hAnsi="仿宋" w:eastAsia="仿宋" w:cs="仿宋"/>
          <w:color w:val="222222"/>
          <w:spacing w:val="8"/>
          <w:sz w:val="32"/>
          <w:szCs w:val="32"/>
        </w:rPr>
      </w:pPr>
      <w:r>
        <w:rPr>
          <w:rFonts w:hint="eastAsia" w:ascii="仿宋" w:hAnsi="仿宋" w:eastAsia="仿宋" w:cs="仿宋"/>
          <w:color w:val="222222"/>
          <w:spacing w:val="8"/>
          <w:sz w:val="32"/>
          <w:szCs w:val="32"/>
          <w:shd w:val="clear" w:color="auto" w:fill="FFFFFF"/>
        </w:rPr>
        <w:t>①营业执照复印件（盖章）</w:t>
      </w:r>
    </w:p>
    <w:p>
      <w:pPr>
        <w:pStyle w:val="5"/>
        <w:widowControl/>
        <w:shd w:val="clear" w:color="auto" w:fill="FFFFFF"/>
        <w:spacing w:beforeAutospacing="0" w:afterAutospacing="0" w:line="240" w:lineRule="auto"/>
        <w:ind w:firstLine="672" w:firstLineChars="200"/>
        <w:rPr>
          <w:rFonts w:ascii="仿宋" w:hAnsi="仿宋" w:eastAsia="仿宋" w:cs="仿宋"/>
          <w:color w:val="222222"/>
          <w:spacing w:val="8"/>
          <w:sz w:val="32"/>
          <w:szCs w:val="32"/>
        </w:rPr>
      </w:pPr>
      <w:r>
        <w:rPr>
          <w:rFonts w:hint="eastAsia" w:ascii="仿宋" w:hAnsi="仿宋" w:eastAsia="仿宋" w:cs="仿宋"/>
          <w:color w:val="222222"/>
          <w:spacing w:val="8"/>
          <w:sz w:val="32"/>
          <w:szCs w:val="32"/>
          <w:shd w:val="clear" w:color="auto" w:fill="FFFFFF"/>
        </w:rPr>
        <w:t>②人员证书复印件（盖章）</w:t>
      </w:r>
    </w:p>
    <w:p>
      <w:pPr>
        <w:pStyle w:val="5"/>
        <w:widowControl/>
        <w:shd w:val="clear" w:color="auto" w:fill="FFFFFF"/>
        <w:spacing w:beforeAutospacing="0" w:afterAutospacing="0" w:line="240" w:lineRule="auto"/>
        <w:ind w:firstLine="672" w:firstLineChars="200"/>
        <w:rPr>
          <w:rFonts w:ascii="仿宋" w:hAnsi="仿宋" w:eastAsia="仿宋" w:cs="仿宋"/>
          <w:color w:val="222222"/>
          <w:spacing w:val="8"/>
          <w:sz w:val="32"/>
          <w:szCs w:val="32"/>
        </w:rPr>
      </w:pPr>
      <w:r>
        <w:rPr>
          <w:rFonts w:hint="eastAsia" w:ascii="仿宋" w:hAnsi="仿宋" w:eastAsia="仿宋" w:cs="仿宋"/>
          <w:color w:val="222222"/>
          <w:spacing w:val="8"/>
          <w:sz w:val="32"/>
          <w:szCs w:val="32"/>
          <w:shd w:val="clear" w:color="auto" w:fill="FFFFFF"/>
        </w:rPr>
        <w:t>③评定表一式两份（盖章）</w:t>
      </w:r>
    </w:p>
    <w:p>
      <w:pPr>
        <w:pStyle w:val="5"/>
        <w:widowControl/>
        <w:shd w:val="clear" w:color="auto" w:fill="FFFFFF"/>
        <w:spacing w:beforeAutospacing="0" w:afterAutospacing="0" w:line="240" w:lineRule="auto"/>
        <w:ind w:firstLine="672" w:firstLineChars="200"/>
        <w:rPr>
          <w:rFonts w:ascii="仿宋" w:hAnsi="仿宋" w:eastAsia="仿宋" w:cs="仿宋"/>
          <w:color w:val="222222"/>
          <w:spacing w:val="8"/>
          <w:sz w:val="32"/>
          <w:szCs w:val="32"/>
        </w:rPr>
      </w:pPr>
      <w:r>
        <w:rPr>
          <w:rFonts w:hint="eastAsia" w:ascii="仿宋" w:hAnsi="仿宋" w:eastAsia="仿宋" w:cs="仿宋"/>
          <w:color w:val="222222"/>
          <w:spacing w:val="8"/>
          <w:sz w:val="32"/>
          <w:szCs w:val="32"/>
          <w:shd w:val="clear" w:color="auto" w:fill="FFFFFF"/>
        </w:rPr>
        <w:t>④业绩合约复印件（盖章）</w:t>
      </w:r>
    </w:p>
    <w:p>
      <w:pPr>
        <w:pStyle w:val="5"/>
        <w:widowControl/>
        <w:shd w:val="clear" w:color="auto" w:fill="FFFFFF"/>
        <w:spacing w:beforeAutospacing="0" w:afterAutospacing="0" w:line="240" w:lineRule="auto"/>
        <w:ind w:firstLine="672" w:firstLineChars="200"/>
        <w:rPr>
          <w:rFonts w:ascii="仿宋" w:hAnsi="仿宋" w:eastAsia="仿宋" w:cs="仿宋"/>
          <w:color w:val="222222"/>
          <w:spacing w:val="8"/>
          <w:sz w:val="32"/>
          <w:szCs w:val="32"/>
        </w:rPr>
      </w:pPr>
      <w:r>
        <w:rPr>
          <w:rFonts w:hint="eastAsia" w:ascii="仿宋" w:hAnsi="仿宋" w:eastAsia="仿宋" w:cs="仿宋"/>
          <w:color w:val="222222"/>
          <w:spacing w:val="8"/>
          <w:sz w:val="32"/>
          <w:szCs w:val="32"/>
          <w:shd w:val="clear" w:color="auto" w:fill="FFFFFF"/>
        </w:rPr>
        <w:t>⑤评定表配置物品图片附件表一式二份（盖章）</w:t>
      </w:r>
    </w:p>
    <w:p>
      <w:pPr>
        <w:pStyle w:val="5"/>
        <w:widowControl/>
        <w:shd w:val="clear" w:color="auto" w:fill="FFFFFF"/>
        <w:spacing w:beforeAutospacing="0" w:afterAutospacing="0" w:line="240" w:lineRule="auto"/>
        <w:ind w:firstLine="672" w:firstLineChars="200"/>
        <w:rPr>
          <w:rFonts w:hint="eastAsia" w:ascii="仿宋" w:hAnsi="仿宋" w:eastAsia="仿宋" w:cs="仿宋"/>
          <w:lang w:eastAsia="zh-CN"/>
        </w:rPr>
      </w:pPr>
      <w:r>
        <w:rPr>
          <w:rFonts w:hint="eastAsia" w:ascii="仿宋" w:hAnsi="仿宋" w:eastAsia="仿宋" w:cs="仿宋"/>
          <w:color w:val="222222"/>
          <w:spacing w:val="8"/>
          <w:sz w:val="32"/>
          <w:szCs w:val="32"/>
          <w:shd w:val="clear" w:color="auto" w:fill="FFFFFF"/>
        </w:rPr>
        <w:t>⑥</w:t>
      </w:r>
      <w:r>
        <w:rPr>
          <w:rFonts w:hint="eastAsia" w:ascii="仿宋" w:hAnsi="仿宋" w:eastAsia="仿宋" w:cs="仿宋"/>
          <w:spacing w:val="8"/>
          <w:sz w:val="32"/>
          <w:szCs w:val="32"/>
          <w:shd w:val="clear" w:color="auto" w:fill="FFFFFF"/>
        </w:rPr>
        <w:t>海南省暖通空调行业协会空调维修保养资质证申请表(会员签名、单位盖章)</w:t>
      </w:r>
    </w:p>
    <w:p>
      <w:pPr>
        <w:pStyle w:val="5"/>
        <w:widowControl/>
        <w:shd w:val="clear" w:color="auto" w:fill="FFFFFF"/>
        <w:spacing w:beforeAutospacing="0" w:afterAutospacing="0" w:line="240" w:lineRule="auto"/>
        <w:jc w:val="center"/>
        <w:rPr>
          <w:rFonts w:ascii="黑体" w:hAnsi="黑体" w:eastAsia="黑体" w:cs="黑体"/>
          <w:spacing w:val="8"/>
          <w:sz w:val="32"/>
          <w:szCs w:val="32"/>
          <w:shd w:val="clear" w:color="auto" w:fill="FFFFFF"/>
        </w:rPr>
      </w:pPr>
      <w:r>
        <w:rPr>
          <w:rFonts w:hint="eastAsia" w:ascii="黑体" w:hAnsi="黑体" w:eastAsia="黑体" w:cs="黑体"/>
          <w:spacing w:val="8"/>
          <w:sz w:val="32"/>
          <w:szCs w:val="32"/>
          <w:shd w:val="clear" w:color="auto" w:fill="FFFFFF"/>
        </w:rPr>
        <w:t xml:space="preserve">第四章 </w:t>
      </w:r>
      <w:r>
        <w:rPr>
          <w:rFonts w:hint="eastAsia" w:ascii="黑体" w:hAnsi="黑体" w:eastAsia="黑体" w:cs="黑体"/>
          <w:spacing w:val="8"/>
          <w:sz w:val="32"/>
          <w:szCs w:val="32"/>
          <w:shd w:val="clear" w:color="auto" w:fill="FFFFFF"/>
          <w:lang w:val="en-US" w:eastAsia="zh-CN"/>
        </w:rPr>
        <w:t xml:space="preserve">   </w:t>
      </w:r>
      <w:r>
        <w:rPr>
          <w:rFonts w:hint="eastAsia" w:ascii="黑体" w:hAnsi="黑体" w:eastAsia="黑体" w:cs="黑体"/>
          <w:spacing w:val="8"/>
          <w:sz w:val="32"/>
          <w:szCs w:val="32"/>
          <w:shd w:val="clear" w:color="auto" w:fill="FFFFFF"/>
        </w:rPr>
        <w:t>评定及发放证书</w:t>
      </w:r>
    </w:p>
    <w:p>
      <w:pPr>
        <w:pStyle w:val="15"/>
        <w:numPr>
          <w:ilvl w:val="3"/>
          <w:numId w:val="0"/>
        </w:numPr>
        <w:spacing w:before="156" w:after="156" w:line="240" w:lineRule="auto"/>
        <w:ind w:firstLine="643" w:firstLineChars="200"/>
        <w:rPr>
          <w:rFonts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七</w:t>
      </w:r>
      <w:r>
        <w:rPr>
          <w:rFonts w:hint="eastAsia" w:ascii="仿宋" w:hAnsi="仿宋" w:eastAsia="仿宋" w:cs="仿宋"/>
          <w:b/>
          <w:bCs/>
          <w:sz w:val="32"/>
          <w:szCs w:val="32"/>
        </w:rPr>
        <w:t xml:space="preserve">条 </w:t>
      </w:r>
      <w:r>
        <w:rPr>
          <w:rFonts w:hint="eastAsia" w:ascii="仿宋" w:hAnsi="仿宋" w:eastAsia="仿宋" w:cs="仿宋"/>
          <w:sz w:val="32"/>
          <w:szCs w:val="32"/>
        </w:rPr>
        <w:t>评定分为初审与现场评审两个环节。评定机构对中央空调维修保养机构申请材料的完整性和真实性进行初审，判定是否符合对应等级的申请条件，不符合申请条件的不接受申请，说明原因，退回或要求补报申请材料。</w:t>
      </w:r>
    </w:p>
    <w:p>
      <w:pPr>
        <w:pStyle w:val="15"/>
        <w:numPr>
          <w:ilvl w:val="3"/>
          <w:numId w:val="0"/>
        </w:numPr>
        <w:spacing w:before="156" w:after="156" w:line="240" w:lineRule="auto"/>
        <w:ind w:firstLine="643" w:firstLineChars="200"/>
        <w:rPr>
          <w:rFonts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八</w:t>
      </w:r>
      <w:r>
        <w:rPr>
          <w:rFonts w:hint="eastAsia" w:ascii="仿宋" w:hAnsi="仿宋" w:eastAsia="仿宋" w:cs="仿宋"/>
          <w:b/>
          <w:bCs/>
          <w:sz w:val="32"/>
          <w:szCs w:val="32"/>
        </w:rPr>
        <w:t>条</w:t>
      </w:r>
      <w:r>
        <w:rPr>
          <w:rFonts w:hint="eastAsia" w:ascii="仿宋" w:hAnsi="仿宋" w:eastAsia="仿宋" w:cs="仿宋"/>
          <w:sz w:val="32"/>
          <w:szCs w:val="32"/>
        </w:rPr>
        <w:t xml:space="preserve"> 评定机构组织专家到初审合格机构进行现场评审，提出评审意见；</w:t>
      </w:r>
    </w:p>
    <w:p>
      <w:pPr>
        <w:pStyle w:val="15"/>
        <w:numPr>
          <w:ilvl w:val="3"/>
          <w:numId w:val="0"/>
        </w:numPr>
        <w:spacing w:before="156" w:after="156" w:line="240" w:lineRule="auto"/>
        <w:ind w:firstLine="640" w:firstLineChars="200"/>
        <w:rPr>
          <w:rFonts w:ascii="仿宋" w:hAnsi="仿宋" w:eastAsia="仿宋" w:cs="仿宋"/>
          <w:sz w:val="32"/>
          <w:szCs w:val="32"/>
        </w:rPr>
      </w:pPr>
      <w:r>
        <w:rPr>
          <w:rFonts w:hint="eastAsia" w:ascii="仿宋" w:hAnsi="仿宋" w:eastAsia="仿宋" w:cs="仿宋"/>
          <w:sz w:val="32"/>
          <w:szCs w:val="32"/>
        </w:rPr>
        <w:t xml:space="preserve"> 专家评审合格的，在</w:t>
      </w:r>
      <w:r>
        <w:rPr>
          <w:rFonts w:hint="eastAsia" w:ascii="仿宋" w:hAnsi="仿宋" w:eastAsia="仿宋" w:cs="仿宋"/>
          <w:sz w:val="32"/>
          <w:szCs w:val="32"/>
          <w:lang w:val="en-US" w:eastAsia="zh-CN"/>
        </w:rPr>
        <w:t>协会</w:t>
      </w:r>
      <w:r>
        <w:rPr>
          <w:rFonts w:hint="eastAsia" w:ascii="仿宋" w:hAnsi="仿宋" w:eastAsia="仿宋" w:cs="仿宋"/>
          <w:sz w:val="32"/>
          <w:szCs w:val="32"/>
        </w:rPr>
        <w:t>官网向社会公示</w:t>
      </w:r>
      <w:r>
        <w:rPr>
          <w:rFonts w:ascii="仿宋" w:hAnsi="仿宋" w:eastAsia="仿宋" w:cs="仿宋"/>
          <w:sz w:val="32"/>
          <w:szCs w:val="32"/>
        </w:rPr>
        <w:t>7</w:t>
      </w:r>
      <w:r>
        <w:rPr>
          <w:rFonts w:hint="eastAsia" w:ascii="仿宋" w:hAnsi="仿宋" w:eastAsia="仿宋" w:cs="仿宋"/>
          <w:sz w:val="32"/>
          <w:szCs w:val="32"/>
        </w:rPr>
        <w:t>天，如无异议，由</w:t>
      </w:r>
      <w:r>
        <w:rPr>
          <w:rFonts w:hint="eastAsia" w:ascii="仿宋" w:hAnsi="仿宋" w:eastAsia="仿宋" w:cs="仿宋"/>
          <w:sz w:val="32"/>
          <w:szCs w:val="32"/>
          <w:lang w:val="en-US" w:eastAsia="zh-CN"/>
        </w:rPr>
        <w:t>协会</w:t>
      </w:r>
      <w:r>
        <w:rPr>
          <w:rFonts w:hint="eastAsia" w:ascii="仿宋" w:hAnsi="仿宋" w:eastAsia="仿宋" w:cs="仿宋"/>
          <w:sz w:val="32"/>
          <w:szCs w:val="32"/>
        </w:rPr>
        <w:t>批准并发《能力等级证书》，并在</w:t>
      </w:r>
      <w:r>
        <w:rPr>
          <w:rFonts w:hint="eastAsia" w:ascii="仿宋" w:hAnsi="仿宋" w:eastAsia="仿宋" w:cs="仿宋"/>
          <w:sz w:val="32"/>
          <w:szCs w:val="32"/>
          <w:lang w:val="en-US" w:eastAsia="zh-CN"/>
        </w:rPr>
        <w:t>协会</w:t>
      </w:r>
      <w:r>
        <w:rPr>
          <w:rFonts w:hint="eastAsia" w:ascii="仿宋" w:hAnsi="仿宋" w:eastAsia="仿宋" w:cs="仿宋"/>
          <w:sz w:val="32"/>
          <w:szCs w:val="32"/>
        </w:rPr>
        <w:t xml:space="preserve">官网向社会公布。 </w:t>
      </w:r>
    </w:p>
    <w:p>
      <w:pPr>
        <w:pStyle w:val="15"/>
        <w:numPr>
          <w:ilvl w:val="3"/>
          <w:numId w:val="0"/>
        </w:numPr>
        <w:spacing w:before="156" w:after="156" w:line="240" w:lineRule="auto"/>
        <w:ind w:firstLine="640" w:firstLineChars="200"/>
        <w:rPr>
          <w:rFonts w:ascii="仿宋" w:hAnsi="仿宋" w:eastAsia="仿宋" w:cs="仿宋"/>
          <w:sz w:val="32"/>
          <w:szCs w:val="32"/>
        </w:rPr>
      </w:pPr>
      <w:r>
        <w:rPr>
          <w:rFonts w:hint="eastAsia" w:ascii="仿宋" w:hAnsi="仿宋" w:eastAsia="仿宋" w:cs="仿宋"/>
          <w:sz w:val="32"/>
          <w:szCs w:val="32"/>
        </w:rPr>
        <w:t>专家评审不合格的，或公示有异议的，由评定机构向申请机构反馈具体意见。</w:t>
      </w:r>
    </w:p>
    <w:p>
      <w:pPr>
        <w:pStyle w:val="5"/>
        <w:widowControl/>
        <w:shd w:val="clear" w:color="auto" w:fill="FFFFFF"/>
        <w:spacing w:beforeAutospacing="0" w:afterAutospacing="0" w:line="240" w:lineRule="auto"/>
        <w:jc w:val="center"/>
        <w:rPr>
          <w:rFonts w:ascii="仿宋" w:hAnsi="仿宋" w:eastAsia="仿宋" w:cs="仿宋"/>
          <w:sz w:val="32"/>
          <w:szCs w:val="32"/>
        </w:rPr>
      </w:pPr>
      <w:r>
        <w:rPr>
          <w:rFonts w:hint="eastAsia" w:ascii="黑体" w:hAnsi="黑体" w:eastAsia="黑体" w:cs="黑体"/>
          <w:spacing w:val="8"/>
          <w:sz w:val="32"/>
          <w:szCs w:val="32"/>
          <w:shd w:val="clear" w:color="auto" w:fill="FFFFFF"/>
        </w:rPr>
        <w:t>第</w:t>
      </w:r>
      <w:r>
        <w:rPr>
          <w:rFonts w:hint="eastAsia" w:ascii="黑体" w:hAnsi="黑体" w:eastAsia="黑体" w:cs="黑体"/>
          <w:spacing w:val="8"/>
          <w:sz w:val="32"/>
          <w:szCs w:val="32"/>
          <w:shd w:val="clear" w:color="auto" w:fill="FFFFFF"/>
          <w:lang w:val="en-US" w:eastAsia="zh-CN"/>
        </w:rPr>
        <w:t>五</w:t>
      </w:r>
      <w:r>
        <w:rPr>
          <w:rFonts w:hint="eastAsia" w:ascii="黑体" w:hAnsi="黑体" w:eastAsia="黑体" w:cs="黑体"/>
          <w:spacing w:val="8"/>
          <w:sz w:val="32"/>
          <w:szCs w:val="32"/>
          <w:shd w:val="clear" w:color="auto" w:fill="FFFFFF"/>
        </w:rPr>
        <w:t>章   证书管理</w:t>
      </w:r>
    </w:p>
    <w:p>
      <w:pPr>
        <w:pStyle w:val="15"/>
        <w:numPr>
          <w:ilvl w:val="3"/>
          <w:numId w:val="0"/>
        </w:numPr>
        <w:spacing w:before="156" w:after="156" w:line="240" w:lineRule="auto"/>
        <w:ind w:firstLine="643" w:firstLineChars="200"/>
        <w:rPr>
          <w:rFonts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九</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《能力等级证书》由</w:t>
      </w:r>
      <w:r>
        <w:rPr>
          <w:rFonts w:hint="eastAsia" w:ascii="仿宋" w:hAnsi="仿宋" w:eastAsia="仿宋" w:cs="仿宋"/>
          <w:sz w:val="32"/>
          <w:szCs w:val="32"/>
          <w:lang w:val="en-US" w:eastAsia="zh-CN"/>
        </w:rPr>
        <w:t>协会</w:t>
      </w:r>
      <w:r>
        <w:rPr>
          <w:rFonts w:hint="eastAsia" w:ascii="仿宋" w:hAnsi="仿宋" w:eastAsia="仿宋" w:cs="仿宋"/>
          <w:sz w:val="32"/>
          <w:szCs w:val="32"/>
        </w:rPr>
        <w:t>统一印制、管理、发放。所取得的《能力等级证书》年审周期为一年，年审合格后由协会重新颁发新证书。</w:t>
      </w:r>
    </w:p>
    <w:p>
      <w:pPr>
        <w:pStyle w:val="11"/>
        <w:spacing w:line="240" w:lineRule="auto"/>
        <w:ind w:firstLine="2880" w:firstLineChars="900"/>
        <w:jc w:val="both"/>
        <w:rPr>
          <w:rFonts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六</w:t>
      </w:r>
      <w:r>
        <w:rPr>
          <w:rFonts w:hint="eastAsia" w:ascii="黑体" w:hAnsi="黑体" w:eastAsia="黑体" w:cs="黑体"/>
          <w:sz w:val="32"/>
          <w:szCs w:val="32"/>
        </w:rPr>
        <w:t xml:space="preserve">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年审</w:t>
      </w:r>
    </w:p>
    <w:p>
      <w:pPr>
        <w:pStyle w:val="2"/>
        <w:widowControl/>
        <w:wordWrap w:val="0"/>
        <w:spacing w:beforeAutospacing="0" w:afterAutospacing="0" w:line="240" w:lineRule="auto"/>
        <w:ind w:firstLine="643" w:firstLineChars="200"/>
        <w:rPr>
          <w:rFonts w:hint="eastAsia" w:ascii="仿宋" w:hAnsi="仿宋" w:eastAsia="仿宋" w:cs="仿宋"/>
          <w:b w:val="0"/>
          <w:bCs w:val="0"/>
          <w:sz w:val="32"/>
          <w:szCs w:val="32"/>
          <w:lang w:eastAsia="zh-CN"/>
        </w:rPr>
      </w:pPr>
      <w:r>
        <w:rPr>
          <w:rFonts w:ascii="仿宋" w:hAnsi="仿宋" w:eastAsia="仿宋" w:cs="仿宋"/>
          <w:sz w:val="32"/>
          <w:szCs w:val="32"/>
        </w:rPr>
        <w:t>第十条</w:t>
      </w:r>
      <w:r>
        <w:rPr>
          <w:rFonts w:ascii="仿宋" w:hAnsi="仿宋" w:eastAsia="仿宋" w:cs="仿宋"/>
          <w:b w:val="0"/>
          <w:bCs w:val="0"/>
          <w:sz w:val="32"/>
          <w:szCs w:val="32"/>
        </w:rPr>
        <w:t xml:space="preserve"> </w:t>
      </w:r>
      <w:r>
        <w:rPr>
          <w:rFonts w:hint="eastAsia" w:ascii="仿宋" w:hAnsi="仿宋" w:eastAsia="仿宋" w:cs="仿宋"/>
          <w:b w:val="0"/>
          <w:bCs w:val="0"/>
          <w:sz w:val="32"/>
          <w:szCs w:val="32"/>
          <w:lang w:val="en-US" w:eastAsia="zh-CN"/>
        </w:rPr>
        <w:t xml:space="preserve"> </w:t>
      </w:r>
      <w:r>
        <w:rPr>
          <w:rFonts w:ascii="仿宋" w:hAnsi="仿宋" w:eastAsia="仿宋" w:cs="仿宋"/>
          <w:b w:val="0"/>
          <w:bCs w:val="0"/>
          <w:sz w:val="32"/>
          <w:szCs w:val="32"/>
        </w:rPr>
        <w:t>获证企业在期满前3个月内向</w:t>
      </w:r>
      <w:r>
        <w:rPr>
          <w:rFonts w:hint="eastAsia" w:ascii="仿宋" w:hAnsi="仿宋" w:eastAsia="仿宋" w:cs="仿宋"/>
          <w:b w:val="0"/>
          <w:bCs w:val="0"/>
          <w:sz w:val="32"/>
          <w:szCs w:val="32"/>
          <w:lang w:val="en-US" w:eastAsia="zh-CN"/>
        </w:rPr>
        <w:t>协会</w:t>
      </w:r>
      <w:r>
        <w:rPr>
          <w:rFonts w:ascii="仿宋" w:hAnsi="仿宋" w:eastAsia="仿宋" w:cs="仿宋"/>
          <w:b w:val="0"/>
          <w:bCs w:val="0"/>
          <w:sz w:val="32"/>
          <w:szCs w:val="32"/>
        </w:rPr>
        <w:t>秘书处提交</w:t>
      </w:r>
      <w:r>
        <w:rPr>
          <w:rFonts w:hint="eastAsia" w:ascii="仿宋" w:hAnsi="仿宋" w:eastAsia="仿宋" w:cs="仿宋"/>
          <w:b w:val="0"/>
          <w:bCs w:val="0"/>
          <w:sz w:val="32"/>
          <w:szCs w:val="32"/>
          <w:lang w:val="en-US" w:eastAsia="zh-CN"/>
        </w:rPr>
        <w:t>以下</w:t>
      </w:r>
      <w:r>
        <w:rPr>
          <w:rFonts w:ascii="仿宋" w:hAnsi="仿宋" w:eastAsia="仿宋" w:cs="仿宋"/>
          <w:b w:val="0"/>
          <w:bCs w:val="0"/>
          <w:sz w:val="32"/>
          <w:szCs w:val="32"/>
        </w:rPr>
        <w:t>资料</w:t>
      </w:r>
      <w:r>
        <w:rPr>
          <w:rFonts w:hint="eastAsia" w:ascii="仿宋" w:hAnsi="仿宋" w:eastAsia="仿宋" w:cs="仿宋"/>
          <w:b w:val="0"/>
          <w:bCs w:val="0"/>
          <w:sz w:val="32"/>
          <w:szCs w:val="32"/>
          <w:lang w:eastAsia="zh-CN"/>
        </w:rPr>
        <w:t>：</w:t>
      </w:r>
    </w:p>
    <w:p>
      <w:pPr>
        <w:pStyle w:val="2"/>
        <w:widowControl/>
        <w:wordWrap w:val="0"/>
        <w:spacing w:beforeAutospacing="0" w:afterAutospacing="0" w:line="240" w:lineRule="auto"/>
        <w:rPr>
          <w:rFonts w:ascii="仿宋" w:hAnsi="仿宋" w:eastAsia="仿宋" w:cs="仿宋"/>
          <w:b w:val="0"/>
          <w:bCs w:val="0"/>
          <w:sz w:val="32"/>
          <w:szCs w:val="32"/>
        </w:rPr>
      </w:pPr>
      <w:r>
        <w:rPr>
          <w:rFonts w:hint="eastAsia" w:ascii="仿宋" w:hAnsi="仿宋" w:eastAsia="仿宋" w:cs="仿宋"/>
          <w:b w:val="0"/>
          <w:bCs w:val="0"/>
          <w:sz w:val="32"/>
          <w:szCs w:val="32"/>
        </w:rPr>
        <w:t>1、企业《营业执照》复印件（加盖印章）</w:t>
      </w:r>
    </w:p>
    <w:p>
      <w:pPr>
        <w:spacing w:line="240" w:lineRule="auto"/>
        <w:rPr>
          <w:rFonts w:ascii="仿宋" w:hAnsi="仿宋" w:eastAsia="仿宋" w:cs="仿宋"/>
          <w:sz w:val="32"/>
          <w:szCs w:val="32"/>
        </w:rPr>
      </w:pPr>
      <w:r>
        <w:rPr>
          <w:rFonts w:hint="eastAsia" w:ascii="仿宋" w:hAnsi="仿宋" w:eastAsia="仿宋" w:cs="仿宋"/>
          <w:sz w:val="32"/>
          <w:szCs w:val="32"/>
        </w:rPr>
        <w:t>2、人员证书复印件（加盖印章）</w:t>
      </w:r>
    </w:p>
    <w:p>
      <w:pPr>
        <w:spacing w:line="240" w:lineRule="auto"/>
        <w:rPr>
          <w:rFonts w:ascii="仿宋" w:hAnsi="仿宋" w:eastAsia="仿宋" w:cs="仿宋"/>
          <w:sz w:val="32"/>
          <w:szCs w:val="32"/>
        </w:rPr>
      </w:pPr>
      <w:r>
        <w:rPr>
          <w:rFonts w:hint="eastAsia" w:ascii="仿宋" w:hAnsi="仿宋" w:eastAsia="仿宋" w:cs="仿宋"/>
          <w:sz w:val="32"/>
          <w:szCs w:val="32"/>
        </w:rPr>
        <w:t>3、工具表申报清单（加盖印章）</w:t>
      </w:r>
    </w:p>
    <w:p>
      <w:pPr>
        <w:spacing w:line="240" w:lineRule="auto"/>
        <w:rPr>
          <w:rFonts w:ascii="仿宋" w:hAnsi="仿宋" w:eastAsia="仿宋" w:cs="仿宋"/>
          <w:sz w:val="32"/>
          <w:szCs w:val="32"/>
        </w:rPr>
      </w:pPr>
      <w:r>
        <w:rPr>
          <w:rFonts w:hint="eastAsia" w:ascii="仿宋" w:hAnsi="仿宋" w:eastAsia="仿宋" w:cs="仿宋"/>
          <w:sz w:val="32"/>
          <w:szCs w:val="32"/>
        </w:rPr>
        <w:t>4、近期维保合约复印件（加盖印章）</w:t>
      </w:r>
    </w:p>
    <w:p>
      <w:pPr>
        <w:spacing w:line="240" w:lineRule="auto"/>
        <w:rPr>
          <w:rFonts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中央</w:t>
      </w:r>
      <w:r>
        <w:rPr>
          <w:rFonts w:hint="eastAsia" w:ascii="仿宋" w:hAnsi="仿宋" w:eastAsia="仿宋" w:cs="仿宋"/>
          <w:sz w:val="32"/>
          <w:szCs w:val="32"/>
        </w:rPr>
        <w:t>空调维修保养资质证年审申请表》及《</w:t>
      </w:r>
      <w:r>
        <w:rPr>
          <w:rFonts w:hint="eastAsia" w:ascii="仿宋" w:hAnsi="仿宋" w:eastAsia="仿宋" w:cs="仿宋"/>
          <w:sz w:val="32"/>
          <w:szCs w:val="32"/>
          <w:lang w:val="en-US" w:eastAsia="zh-CN"/>
        </w:rPr>
        <w:t>中央</w:t>
      </w:r>
      <w:r>
        <w:rPr>
          <w:rFonts w:hint="eastAsia" w:ascii="仿宋" w:hAnsi="仿宋" w:eastAsia="仿宋" w:cs="仿宋"/>
          <w:sz w:val="32"/>
          <w:szCs w:val="32"/>
        </w:rPr>
        <w:t>空调维修保养资质证年审工作总结》</w:t>
      </w:r>
    </w:p>
    <w:p>
      <w:pPr>
        <w:spacing w:line="240" w:lineRule="auto"/>
        <w:rPr>
          <w:rFonts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中央</w:t>
      </w:r>
      <w:r>
        <w:rPr>
          <w:rFonts w:hint="eastAsia" w:ascii="仿宋" w:hAnsi="仿宋" w:eastAsia="仿宋" w:cs="仿宋"/>
          <w:sz w:val="32"/>
          <w:szCs w:val="32"/>
        </w:rPr>
        <w:t>空调维修保养（ ）级资质年审评审表》</w:t>
      </w:r>
    </w:p>
    <w:p>
      <w:pPr>
        <w:pStyle w:val="15"/>
        <w:numPr>
          <w:ilvl w:val="3"/>
          <w:numId w:val="0"/>
        </w:numPr>
        <w:spacing w:before="156" w:after="156" w:line="240" w:lineRule="auto"/>
        <w:ind w:firstLine="643" w:firstLineChars="200"/>
        <w:rPr>
          <w:rFonts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条</w:t>
      </w:r>
      <w:r>
        <w:rPr>
          <w:rFonts w:hint="eastAsia" w:ascii="仿宋" w:hAnsi="仿宋" w:eastAsia="仿宋" w:cs="仿宋"/>
          <w:sz w:val="32"/>
          <w:szCs w:val="32"/>
        </w:rPr>
        <w:t xml:space="preserve"> 评定机构组织专家对年审材料进行审核，必要时可进行现场考评，提出评审意见；对取得</w:t>
      </w:r>
      <w:r>
        <w:rPr>
          <w:rFonts w:hint="eastAsia" w:ascii="宋体" w:hAnsi="宋体" w:eastAsia="宋体" w:cs="宋体"/>
          <w:sz w:val="32"/>
          <w:szCs w:val="32"/>
        </w:rPr>
        <w:t>Ⅰ</w:t>
      </w:r>
      <w:r>
        <w:rPr>
          <w:rFonts w:hint="eastAsia" w:ascii="仿宋" w:hAnsi="仿宋" w:eastAsia="仿宋" w:cs="仿宋"/>
          <w:sz w:val="32"/>
          <w:szCs w:val="32"/>
        </w:rPr>
        <w:t>级证书的</w:t>
      </w:r>
      <w:r>
        <w:rPr>
          <w:rFonts w:hint="eastAsia" w:ascii="仿宋" w:hAnsi="仿宋" w:eastAsia="仿宋" w:cs="仿宋"/>
          <w:sz w:val="32"/>
          <w:szCs w:val="32"/>
          <w:lang w:val="en-US" w:eastAsia="zh-CN"/>
        </w:rPr>
        <w:t>企业</w:t>
      </w:r>
      <w:r>
        <w:rPr>
          <w:rFonts w:hint="eastAsia" w:ascii="仿宋" w:hAnsi="仿宋" w:eastAsia="仿宋" w:cs="仿宋"/>
          <w:sz w:val="32"/>
          <w:szCs w:val="32"/>
        </w:rPr>
        <w:t>年审，专家必须现场年审。</w:t>
      </w:r>
    </w:p>
    <w:p>
      <w:pPr>
        <w:pStyle w:val="15"/>
        <w:numPr>
          <w:ilvl w:val="3"/>
          <w:numId w:val="0"/>
        </w:numPr>
        <w:spacing w:before="156" w:after="156" w:line="240" w:lineRule="auto"/>
        <w:ind w:firstLine="643" w:firstLineChars="200"/>
        <w:rPr>
          <w:rFonts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条</w:t>
      </w:r>
      <w:r>
        <w:rPr>
          <w:rFonts w:hint="eastAsia" w:ascii="仿宋" w:hAnsi="仿宋" w:eastAsia="仿宋" w:cs="仿宋"/>
          <w:sz w:val="32"/>
          <w:szCs w:val="32"/>
        </w:rPr>
        <w:t xml:space="preserve"> 专家年审合格的，由</w:t>
      </w:r>
      <w:r>
        <w:rPr>
          <w:rFonts w:hint="eastAsia" w:ascii="仿宋" w:hAnsi="仿宋" w:eastAsia="仿宋" w:cs="仿宋"/>
          <w:sz w:val="32"/>
          <w:szCs w:val="32"/>
          <w:lang w:val="en-US" w:eastAsia="zh-CN"/>
        </w:rPr>
        <w:t>协会</w:t>
      </w:r>
      <w:r>
        <w:rPr>
          <w:rFonts w:hint="eastAsia" w:ascii="仿宋" w:hAnsi="仿宋" w:eastAsia="仿宋" w:cs="仿宋"/>
          <w:sz w:val="32"/>
          <w:szCs w:val="32"/>
        </w:rPr>
        <w:t>换发《能力等级证书》，并向社会公布。如果出现年审不合格的，则由秘书处通知企业限期改正，并重新提出年审申请。</w:t>
      </w:r>
    </w:p>
    <w:p>
      <w:pPr>
        <w:pStyle w:val="5"/>
        <w:widowControl/>
        <w:shd w:val="clear" w:color="auto" w:fill="FFFFFF"/>
        <w:spacing w:beforeAutospacing="0" w:afterAutospacing="0" w:line="240" w:lineRule="auto"/>
        <w:jc w:val="center"/>
        <w:rPr>
          <w:rFonts w:ascii="黑体" w:hAnsi="黑体" w:eastAsia="黑体" w:cs="黑体"/>
          <w:spacing w:val="8"/>
          <w:sz w:val="32"/>
          <w:szCs w:val="32"/>
          <w:shd w:val="clear" w:color="auto" w:fill="FFFFFF"/>
        </w:rPr>
      </w:pPr>
      <w:r>
        <w:rPr>
          <w:rFonts w:hint="eastAsia" w:ascii="黑体" w:hAnsi="黑体" w:eastAsia="黑体" w:cs="黑体"/>
          <w:spacing w:val="8"/>
          <w:sz w:val="32"/>
          <w:szCs w:val="32"/>
          <w:shd w:val="clear" w:color="auto" w:fill="FFFFFF"/>
        </w:rPr>
        <w:t>第</w:t>
      </w:r>
      <w:r>
        <w:rPr>
          <w:rFonts w:hint="eastAsia" w:ascii="黑体" w:hAnsi="黑体" w:eastAsia="黑体" w:cs="黑体"/>
          <w:spacing w:val="8"/>
          <w:sz w:val="32"/>
          <w:szCs w:val="32"/>
          <w:shd w:val="clear" w:color="auto" w:fill="FFFFFF"/>
          <w:lang w:val="en-US" w:eastAsia="zh-CN"/>
        </w:rPr>
        <w:t>七</w:t>
      </w:r>
      <w:r>
        <w:rPr>
          <w:rFonts w:hint="eastAsia" w:ascii="黑体" w:hAnsi="黑体" w:eastAsia="黑体" w:cs="黑体"/>
          <w:spacing w:val="8"/>
          <w:sz w:val="32"/>
          <w:szCs w:val="32"/>
          <w:shd w:val="clear" w:color="auto" w:fill="FFFFFF"/>
        </w:rPr>
        <w:t>章</w:t>
      </w:r>
      <w:r>
        <w:rPr>
          <w:rFonts w:hint="eastAsia" w:ascii="黑体" w:hAnsi="黑体" w:eastAsia="黑体" w:cs="黑体"/>
          <w:spacing w:val="8"/>
          <w:sz w:val="32"/>
          <w:szCs w:val="32"/>
          <w:shd w:val="clear" w:color="auto" w:fill="FFFFFF"/>
          <w:lang w:val="en-US" w:eastAsia="zh-CN"/>
        </w:rPr>
        <w:t xml:space="preserve"> </w:t>
      </w:r>
      <w:r>
        <w:rPr>
          <w:rFonts w:hint="eastAsia" w:ascii="黑体" w:hAnsi="黑体" w:eastAsia="黑体" w:cs="黑体"/>
          <w:spacing w:val="8"/>
          <w:sz w:val="32"/>
          <w:szCs w:val="32"/>
          <w:shd w:val="clear" w:color="auto" w:fill="FFFFFF"/>
        </w:rPr>
        <w:t xml:space="preserve"> 证后监督</w:t>
      </w:r>
    </w:p>
    <w:p>
      <w:pPr>
        <w:pStyle w:val="15"/>
        <w:numPr>
          <w:ilvl w:val="3"/>
          <w:numId w:val="0"/>
        </w:numPr>
        <w:spacing w:before="156" w:after="156" w:line="240" w:lineRule="auto"/>
        <w:ind w:firstLine="643" w:firstLineChars="200"/>
        <w:rPr>
          <w:rFonts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协会</w:t>
      </w:r>
      <w:r>
        <w:rPr>
          <w:rFonts w:hint="eastAsia" w:ascii="仿宋" w:hAnsi="仿宋" w:eastAsia="仿宋" w:cs="仿宋"/>
          <w:sz w:val="32"/>
          <w:szCs w:val="32"/>
        </w:rPr>
        <w:t>有权对持证单位的经营活动进行管理和监督，不定期对取得《能力等级证书》的</w:t>
      </w:r>
      <w:bookmarkStart w:id="1" w:name="_GoBack"/>
      <w:bookmarkEnd w:id="1"/>
      <w:r>
        <w:rPr>
          <w:rFonts w:hint="eastAsia" w:ascii="仿宋" w:hAnsi="仿宋" w:eastAsia="仿宋" w:cs="仿宋"/>
          <w:sz w:val="32"/>
          <w:szCs w:val="32"/>
        </w:rPr>
        <w:t>持证单位进行专项监督检查。</w:t>
      </w:r>
    </w:p>
    <w:p>
      <w:pPr>
        <w:pStyle w:val="15"/>
        <w:numPr>
          <w:ilvl w:val="3"/>
          <w:numId w:val="0"/>
        </w:numPr>
        <w:spacing w:before="156" w:after="156" w:line="240" w:lineRule="auto"/>
        <w:ind w:firstLine="643" w:firstLineChars="200"/>
        <w:rPr>
          <w:rFonts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条</w:t>
      </w:r>
      <w:r>
        <w:rPr>
          <w:rFonts w:hint="eastAsia" w:ascii="仿宋" w:hAnsi="仿宋" w:eastAsia="仿宋" w:cs="仿宋"/>
          <w:sz w:val="32"/>
          <w:szCs w:val="32"/>
        </w:rPr>
        <w:t xml:space="preserve"> 有下列情况之一的，</w:t>
      </w:r>
      <w:r>
        <w:rPr>
          <w:rFonts w:hint="eastAsia" w:ascii="仿宋" w:hAnsi="仿宋" w:eastAsia="仿宋" w:cs="仿宋"/>
          <w:sz w:val="32"/>
          <w:szCs w:val="32"/>
          <w:lang w:val="en-US" w:eastAsia="zh-CN"/>
        </w:rPr>
        <w:t>协会</w:t>
      </w:r>
      <w:r>
        <w:rPr>
          <w:rFonts w:hint="eastAsia" w:ascii="仿宋" w:hAnsi="仿宋" w:eastAsia="仿宋" w:cs="仿宋"/>
          <w:sz w:val="32"/>
          <w:szCs w:val="32"/>
        </w:rPr>
        <w:t>将按照有关的法律、法规的条款依法提请有关部门进行处理，并注销其《能力等级证书》：</w:t>
      </w:r>
    </w:p>
    <w:p>
      <w:pPr>
        <w:pStyle w:val="13"/>
        <w:numPr>
          <w:ilvl w:val="0"/>
          <w:numId w:val="4"/>
        </w:numPr>
        <w:spacing w:line="240" w:lineRule="auto"/>
        <w:ind w:firstLine="640" w:firstLineChars="200"/>
        <w:rPr>
          <w:rFonts w:ascii="仿宋" w:hAnsi="仿宋" w:eastAsia="仿宋" w:cs="仿宋"/>
          <w:sz w:val="32"/>
          <w:szCs w:val="32"/>
        </w:rPr>
      </w:pPr>
      <w:r>
        <w:rPr>
          <w:rFonts w:hint="eastAsia" w:ascii="仿宋" w:hAnsi="仿宋" w:eastAsia="仿宋" w:cs="仿宋"/>
          <w:sz w:val="32"/>
          <w:szCs w:val="32"/>
        </w:rPr>
        <w:t>因中央空调维修保养质量低劣，不遵守操作规程、安全规程造成重大事故的；</w:t>
      </w:r>
    </w:p>
    <w:p>
      <w:pPr>
        <w:pStyle w:val="13"/>
        <w:numPr>
          <w:ilvl w:val="0"/>
          <w:numId w:val="4"/>
        </w:numPr>
        <w:spacing w:line="240" w:lineRule="auto"/>
        <w:ind w:firstLine="640" w:firstLineChars="200"/>
        <w:rPr>
          <w:rFonts w:ascii="仿宋" w:hAnsi="仿宋" w:eastAsia="仿宋" w:cs="仿宋"/>
          <w:sz w:val="32"/>
          <w:szCs w:val="32"/>
        </w:rPr>
      </w:pPr>
      <w:r>
        <w:rPr>
          <w:rFonts w:hint="eastAsia" w:ascii="仿宋" w:hAnsi="仿宋" w:eastAsia="仿宋" w:cs="仿宋"/>
          <w:sz w:val="32"/>
          <w:szCs w:val="32"/>
        </w:rPr>
        <w:t>在抽检中不合格并在整改期限内仍不合格的；</w:t>
      </w:r>
    </w:p>
    <w:p>
      <w:pPr>
        <w:pStyle w:val="13"/>
        <w:numPr>
          <w:ilvl w:val="0"/>
          <w:numId w:val="4"/>
        </w:numPr>
        <w:spacing w:line="240" w:lineRule="auto"/>
        <w:ind w:firstLine="640" w:firstLineChars="200"/>
        <w:rPr>
          <w:rFonts w:ascii="仿宋" w:hAnsi="仿宋" w:eastAsia="仿宋" w:cs="仿宋"/>
          <w:sz w:val="32"/>
          <w:szCs w:val="32"/>
        </w:rPr>
      </w:pPr>
      <w:r>
        <w:rPr>
          <w:rFonts w:hint="eastAsia" w:ascii="仿宋" w:hAnsi="仿宋" w:eastAsia="仿宋" w:cs="仿宋"/>
          <w:sz w:val="32"/>
          <w:szCs w:val="32"/>
        </w:rPr>
        <w:t>将《能力等级证书》涂改、转让、出借给其他机构使用的；</w:t>
      </w:r>
    </w:p>
    <w:p>
      <w:pPr>
        <w:pStyle w:val="13"/>
        <w:numPr>
          <w:ilvl w:val="0"/>
          <w:numId w:val="4"/>
        </w:numPr>
        <w:spacing w:line="240" w:lineRule="auto"/>
        <w:ind w:firstLine="640" w:firstLineChars="200"/>
        <w:rPr>
          <w:rFonts w:ascii="仿宋" w:hAnsi="仿宋" w:eastAsia="仿宋" w:cs="仿宋"/>
          <w:sz w:val="32"/>
          <w:szCs w:val="32"/>
        </w:rPr>
      </w:pPr>
      <w:r>
        <w:rPr>
          <w:rFonts w:hint="eastAsia" w:ascii="仿宋" w:hAnsi="仿宋" w:eastAsia="仿宋" w:cs="仿宋"/>
          <w:sz w:val="32"/>
          <w:szCs w:val="32"/>
        </w:rPr>
        <w:t>有其他违反国家法律法规的经营活动的。</w:t>
      </w:r>
    </w:p>
    <w:p>
      <w:pPr>
        <w:pStyle w:val="15"/>
        <w:numPr>
          <w:ilvl w:val="3"/>
          <w:numId w:val="0"/>
        </w:numPr>
        <w:spacing w:before="156" w:after="156" w:line="240" w:lineRule="auto"/>
        <w:ind w:firstLine="643" w:firstLineChars="200"/>
        <w:rPr>
          <w:rFonts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条</w:t>
      </w:r>
      <w:r>
        <w:rPr>
          <w:rFonts w:hint="eastAsia" w:ascii="仿宋" w:hAnsi="仿宋" w:eastAsia="仿宋" w:cs="仿宋"/>
          <w:sz w:val="32"/>
          <w:szCs w:val="32"/>
        </w:rPr>
        <w:t xml:space="preserve"> 证书有效期到期该证书自动失效；到期后半年内不按规定办理复审的，</w:t>
      </w:r>
      <w:r>
        <w:rPr>
          <w:rFonts w:hint="eastAsia" w:ascii="仿宋" w:hAnsi="仿宋" w:eastAsia="仿宋" w:cs="仿宋"/>
          <w:sz w:val="32"/>
          <w:szCs w:val="32"/>
          <w:lang w:val="en-US" w:eastAsia="zh-CN"/>
        </w:rPr>
        <w:t>协会</w:t>
      </w:r>
      <w:r>
        <w:rPr>
          <w:rFonts w:hint="eastAsia" w:ascii="仿宋" w:hAnsi="仿宋" w:eastAsia="仿宋" w:cs="仿宋"/>
          <w:sz w:val="32"/>
          <w:szCs w:val="32"/>
        </w:rPr>
        <w:t>在官网予以公布；如果再次取得证书，按新申请证书程序办理申请评定发证。</w:t>
      </w:r>
    </w:p>
    <w:p>
      <w:pPr>
        <w:pStyle w:val="15"/>
        <w:numPr>
          <w:ilvl w:val="3"/>
          <w:numId w:val="0"/>
        </w:numPr>
        <w:spacing w:before="156" w:after="156" w:line="240" w:lineRule="auto"/>
        <w:ind w:firstLine="643" w:firstLineChars="200"/>
        <w:rPr>
          <w:rFonts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条</w:t>
      </w:r>
      <w:r>
        <w:rPr>
          <w:rFonts w:hint="eastAsia" w:ascii="仿宋" w:hAnsi="仿宋" w:eastAsia="仿宋" w:cs="仿宋"/>
          <w:sz w:val="32"/>
          <w:szCs w:val="32"/>
        </w:rPr>
        <w:t xml:space="preserve"> 持证单位被注销《能力等级证书》不满1年的，不得再次申请评定。</w:t>
      </w:r>
    </w:p>
    <w:p>
      <w:pPr>
        <w:pStyle w:val="15"/>
        <w:numPr>
          <w:ilvl w:val="3"/>
          <w:numId w:val="0"/>
        </w:numPr>
        <w:spacing w:before="156" w:after="156" w:line="240" w:lineRule="auto"/>
        <w:ind w:firstLine="643" w:firstLineChars="200"/>
        <w:rPr>
          <w:rFonts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十七</w:t>
      </w:r>
      <w:r>
        <w:rPr>
          <w:rFonts w:hint="eastAsia" w:ascii="仿宋" w:hAnsi="仿宋" w:eastAsia="仿宋" w:cs="仿宋"/>
          <w:b/>
          <w:bCs/>
          <w:sz w:val="32"/>
          <w:szCs w:val="32"/>
        </w:rPr>
        <w:t>条</w:t>
      </w:r>
      <w:r>
        <w:rPr>
          <w:rFonts w:hint="eastAsia" w:ascii="仿宋" w:hAnsi="仿宋" w:eastAsia="仿宋" w:cs="仿宋"/>
          <w:sz w:val="32"/>
          <w:szCs w:val="32"/>
        </w:rPr>
        <w:t xml:space="preserve"> 转业或歇业的持证单位，应及时退回《能力等级证书》，并同时办理注销手续。</w:t>
      </w:r>
    </w:p>
    <w:p>
      <w:pPr>
        <w:pStyle w:val="12"/>
        <w:numPr>
          <w:ilvl w:val="2"/>
          <w:numId w:val="0"/>
        </w:numPr>
        <w:spacing w:before="156" w:after="156" w:line="240" w:lineRule="auto"/>
        <w:ind w:firstLine="643" w:firstLineChars="200"/>
        <w:rPr>
          <w:rFonts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十八</w:t>
      </w:r>
      <w:r>
        <w:rPr>
          <w:rFonts w:hint="eastAsia" w:ascii="仿宋" w:hAnsi="仿宋" w:eastAsia="仿宋" w:cs="仿宋"/>
          <w:b/>
          <w:bCs/>
          <w:sz w:val="32"/>
          <w:szCs w:val="32"/>
        </w:rPr>
        <w:t>条</w:t>
      </w:r>
      <w:r>
        <w:rPr>
          <w:rFonts w:hint="eastAsia" w:ascii="仿宋" w:hAnsi="仿宋" w:eastAsia="仿宋" w:cs="仿宋"/>
          <w:sz w:val="32"/>
          <w:szCs w:val="32"/>
        </w:rPr>
        <w:t xml:space="preserve"> 能力等级的升降级</w:t>
      </w:r>
    </w:p>
    <w:p>
      <w:pPr>
        <w:pStyle w:val="15"/>
        <w:numPr>
          <w:ilvl w:val="3"/>
          <w:numId w:val="0"/>
        </w:numPr>
        <w:spacing w:before="156" w:after="156" w:line="240" w:lineRule="auto"/>
        <w:ind w:firstLine="640" w:firstLineChars="200"/>
        <w:rPr>
          <w:rFonts w:ascii="仿宋" w:hAnsi="仿宋" w:eastAsia="仿宋" w:cs="仿宋"/>
          <w:sz w:val="32"/>
          <w:szCs w:val="32"/>
        </w:rPr>
      </w:pPr>
      <w:r>
        <w:rPr>
          <w:rFonts w:hint="eastAsia" w:ascii="仿宋" w:hAnsi="仿宋" w:eastAsia="仿宋" w:cs="仿宋"/>
          <w:sz w:val="32"/>
          <w:szCs w:val="32"/>
        </w:rPr>
        <w:t>① 在证书有效期内持证机构如需要升级，需按新申请证书程序办理申请评定发证。</w:t>
      </w:r>
    </w:p>
    <w:p>
      <w:pPr>
        <w:pStyle w:val="15"/>
        <w:numPr>
          <w:ilvl w:val="3"/>
          <w:numId w:val="0"/>
        </w:numPr>
        <w:spacing w:before="156" w:after="156" w:line="240" w:lineRule="auto"/>
        <w:ind w:firstLine="640" w:firstLineChars="200"/>
        <w:rPr>
          <w:rFonts w:ascii="仿宋" w:hAnsi="仿宋" w:eastAsia="仿宋" w:cs="仿宋"/>
          <w:sz w:val="32"/>
          <w:szCs w:val="32"/>
        </w:rPr>
      </w:pPr>
      <w:r>
        <w:rPr>
          <w:rFonts w:hint="eastAsia" w:ascii="仿宋" w:hAnsi="仿宋" w:eastAsia="仿宋" w:cs="仿宋"/>
          <w:sz w:val="32"/>
          <w:szCs w:val="32"/>
        </w:rPr>
        <w:t>② 在证书有效期内持证机构如出现人员变化等不符合原定级别需要降级时，则按新申请证书程序办理申请评定发证，并收回原发。</w:t>
      </w:r>
    </w:p>
    <w:p>
      <w:pPr>
        <w:pStyle w:val="11"/>
        <w:spacing w:line="240" w:lineRule="auto"/>
        <w:ind w:firstLine="640"/>
        <w:jc w:val="center"/>
        <w:rPr>
          <w:rFonts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八</w:t>
      </w:r>
      <w:r>
        <w:rPr>
          <w:rFonts w:hint="eastAsia" w:ascii="黑体" w:hAnsi="黑体" w:eastAsia="黑体" w:cs="黑体"/>
          <w:sz w:val="32"/>
          <w:szCs w:val="32"/>
        </w:rPr>
        <w:t xml:space="preserve">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pPr>
        <w:widowControl/>
        <w:spacing w:line="240" w:lineRule="auto"/>
        <w:ind w:firstLine="643" w:firstLineChars="200"/>
        <w:jc w:val="left"/>
        <w:rPr>
          <w:rFonts w:ascii="仿宋" w:hAnsi="仿宋" w:eastAsia="仿宋" w:cs="仿宋"/>
          <w:sz w:val="32"/>
          <w:szCs w:val="32"/>
        </w:rPr>
      </w:pPr>
      <w:r>
        <w:rPr>
          <w:rFonts w:hint="eastAsia" w:ascii="仿宋" w:hAnsi="仿宋" w:eastAsia="仿宋" w:cs="仿宋"/>
          <w:b/>
          <w:bCs/>
          <w:kern w:val="0"/>
          <w:sz w:val="32"/>
          <w:szCs w:val="32"/>
          <w:lang w:bidi="ar"/>
        </w:rPr>
        <w:t>第</w:t>
      </w:r>
      <w:r>
        <w:rPr>
          <w:rFonts w:hint="eastAsia" w:ascii="仿宋" w:hAnsi="仿宋" w:eastAsia="仿宋" w:cs="仿宋"/>
          <w:b/>
          <w:bCs/>
          <w:kern w:val="0"/>
          <w:sz w:val="32"/>
          <w:szCs w:val="32"/>
          <w:lang w:val="en-US" w:eastAsia="zh-CN" w:bidi="ar"/>
        </w:rPr>
        <w:t>十九</w:t>
      </w:r>
      <w:r>
        <w:rPr>
          <w:rFonts w:hint="eastAsia" w:ascii="仿宋" w:hAnsi="仿宋" w:eastAsia="仿宋" w:cs="仿宋"/>
          <w:b/>
          <w:bCs/>
          <w:kern w:val="0"/>
          <w:sz w:val="32"/>
          <w:szCs w:val="32"/>
          <w:lang w:bidi="ar"/>
        </w:rPr>
        <w:t>条</w:t>
      </w:r>
      <w:r>
        <w:rPr>
          <w:rFonts w:hint="eastAsia" w:ascii="仿宋" w:hAnsi="仿宋" w:eastAsia="仿宋" w:cs="仿宋"/>
          <w:kern w:val="0"/>
          <w:sz w:val="32"/>
          <w:szCs w:val="32"/>
          <w:lang w:bidi="ar"/>
        </w:rPr>
        <w:t xml:space="preserve"> 本办法的制定、解释和修订权属海南省暖通空调行业协会。 </w:t>
      </w:r>
    </w:p>
    <w:p>
      <w:pPr>
        <w:widowControl/>
        <w:spacing w:line="240" w:lineRule="auto"/>
        <w:ind w:firstLine="643" w:firstLineChars="200"/>
        <w:jc w:val="left"/>
        <w:rPr>
          <w:rFonts w:hint="eastAsia" w:ascii="仿宋" w:hAnsi="仿宋" w:eastAsia="仿宋" w:cs="仿宋"/>
          <w:kern w:val="0"/>
          <w:sz w:val="32"/>
          <w:szCs w:val="32"/>
          <w:lang w:bidi="ar"/>
        </w:rPr>
      </w:pPr>
      <w:r>
        <w:rPr>
          <w:rFonts w:hint="eastAsia" w:ascii="仿宋" w:hAnsi="仿宋" w:eastAsia="仿宋" w:cs="仿宋"/>
          <w:b/>
          <w:bCs/>
          <w:kern w:val="0"/>
          <w:sz w:val="32"/>
          <w:szCs w:val="32"/>
          <w:lang w:bidi="ar"/>
        </w:rPr>
        <w:t xml:space="preserve">第二十条 </w:t>
      </w:r>
      <w:r>
        <w:rPr>
          <w:rFonts w:hint="eastAsia" w:ascii="仿宋" w:hAnsi="仿宋" w:eastAsia="仿宋" w:cs="仿宋"/>
          <w:kern w:val="0"/>
          <w:sz w:val="32"/>
          <w:szCs w:val="32"/>
          <w:lang w:bidi="ar"/>
        </w:rPr>
        <w:t>本办法自印发之日起实施。</w:t>
      </w:r>
    </w:p>
    <w:p>
      <w:pPr>
        <w:widowControl/>
        <w:spacing w:line="240" w:lineRule="auto"/>
        <w:ind w:firstLine="640" w:firstLineChars="200"/>
        <w:jc w:val="left"/>
        <w:rPr>
          <w:rFonts w:hint="eastAsia" w:ascii="仿宋" w:hAnsi="仿宋" w:eastAsia="仿宋" w:cs="仿宋"/>
          <w:kern w:val="0"/>
          <w:sz w:val="32"/>
          <w:szCs w:val="32"/>
          <w:lang w:bidi="ar"/>
        </w:rPr>
      </w:pPr>
    </w:p>
    <w:p>
      <w:pPr>
        <w:widowControl/>
        <w:spacing w:line="240" w:lineRule="auto"/>
        <w:ind w:firstLine="640" w:firstLineChars="200"/>
        <w:jc w:val="left"/>
        <w:rPr>
          <w:rFonts w:hint="eastAsia" w:ascii="仿宋" w:hAnsi="仿宋" w:eastAsia="仿宋" w:cs="仿宋"/>
          <w:kern w:val="0"/>
          <w:sz w:val="32"/>
          <w:szCs w:val="32"/>
          <w:lang w:bidi="ar"/>
        </w:rPr>
      </w:pPr>
    </w:p>
    <w:p>
      <w:pPr>
        <w:widowControl/>
        <w:spacing w:line="240" w:lineRule="auto"/>
        <w:ind w:firstLine="640" w:firstLineChars="200"/>
        <w:jc w:val="left"/>
        <w:rPr>
          <w:rFonts w:hint="eastAsia" w:ascii="仿宋" w:hAnsi="仿宋" w:eastAsia="仿宋" w:cs="仿宋"/>
          <w:kern w:val="0"/>
          <w:sz w:val="32"/>
          <w:szCs w:val="32"/>
          <w:lang w:bidi="ar"/>
        </w:rPr>
      </w:pPr>
    </w:p>
    <w:p>
      <w:pPr>
        <w:widowControl/>
        <w:spacing w:line="240" w:lineRule="auto"/>
        <w:ind w:firstLine="640" w:firstLineChars="200"/>
        <w:jc w:val="left"/>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 xml:space="preserve">                    海南省暖通空调行业协会</w:t>
      </w:r>
    </w:p>
    <w:p>
      <w:pPr>
        <w:widowControl/>
        <w:spacing w:line="240" w:lineRule="auto"/>
        <w:ind w:firstLine="640" w:firstLineChars="200"/>
        <w:jc w:val="left"/>
        <w:rPr>
          <w:rFonts w:hint="default"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 xml:space="preserve">                       2022年6月6日</w:t>
      </w:r>
    </w:p>
    <w:sectPr>
      <w:pgSz w:w="11906" w:h="16838"/>
      <w:pgMar w:top="567" w:right="1800" w:bottom="56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A1F53F"/>
    <w:multiLevelType w:val="singleLevel"/>
    <w:tmpl w:val="D6A1F53F"/>
    <w:lvl w:ilvl="0" w:tentative="0">
      <w:start w:val="1"/>
      <w:numFmt w:val="decimalEnclosedCircleChinese"/>
      <w:suff w:val="nothing"/>
      <w:lvlText w:val="%1　"/>
      <w:lvlJc w:val="left"/>
      <w:pPr>
        <w:ind w:left="0" w:firstLine="400"/>
      </w:pPr>
      <w:rPr>
        <w:rFonts w:hint="eastAsia"/>
      </w:rPr>
    </w:lvl>
  </w:abstractNum>
  <w:abstractNum w:abstractNumId="1">
    <w:nsid w:val="44C50F90"/>
    <w:multiLevelType w:val="multilevel"/>
    <w:tmpl w:val="44C50F90"/>
    <w:lvl w:ilvl="0" w:tentative="0">
      <w:start w:val="1"/>
      <w:numFmt w:val="lowerLetter"/>
      <w:pStyle w:val="13"/>
      <w:lvlText w:val="%1)"/>
      <w:lvlJc w:val="left"/>
      <w:pPr>
        <w:tabs>
          <w:tab w:val="left" w:pos="852"/>
        </w:tabs>
        <w:ind w:left="852" w:hanging="426"/>
      </w:pPr>
      <w:rPr>
        <w:rFonts w:hint="eastAsia" w:ascii="宋体" w:hAnsi="Times New Roman" w:eastAsia="宋体"/>
        <w:color w:val="000000" w:themeColor="text1"/>
        <w:sz w:val="21"/>
        <w14:textFill>
          <w14:solidFill>
            <w14:schemeClr w14:val="tx1"/>
          </w14:solidFill>
        </w14:textFill>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0"/>
      <w:suff w:val="nothing"/>
      <w:lvlText w:val="%1%2　"/>
      <w:lvlJc w:val="left"/>
      <w:pPr>
        <w:ind w:left="0" w:firstLine="0"/>
      </w:pPr>
      <w:rPr>
        <w:rFonts w:hint="eastAsia" w:ascii="黑体" w:eastAsia="黑体"/>
        <w:b w:val="0"/>
        <w:i w:val="0"/>
        <w:sz w:val="21"/>
      </w:rPr>
    </w:lvl>
    <w:lvl w:ilvl="2" w:tentative="0">
      <w:start w:val="1"/>
      <w:numFmt w:val="decimal"/>
      <w:pStyle w:val="12"/>
      <w:suff w:val="nothing"/>
      <w:lvlText w:val="%1%2.%3　"/>
      <w:lvlJc w:val="left"/>
      <w:pPr>
        <w:ind w:left="283"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15"/>
      <w:suff w:val="nothing"/>
      <w:lvlText w:val="%1%2.%3.%4　"/>
      <w:lvlJc w:val="left"/>
      <w:pPr>
        <w:ind w:left="426"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6DBF04F4"/>
    <w:multiLevelType w:val="multilevel"/>
    <w:tmpl w:val="6DBF04F4"/>
    <w:lvl w:ilvl="0" w:tentative="0">
      <w:start w:val="1"/>
      <w:numFmt w:val="none"/>
      <w:pStyle w:val="14"/>
      <w:lvlText w:val="%1注："/>
      <w:lvlJc w:val="left"/>
      <w:pPr>
        <w:ind w:left="794" w:hanging="374"/>
      </w:pPr>
      <w:rPr>
        <w:rFonts w:hint="eastAsia" w:ascii="黑体" w:eastAsia="黑体"/>
        <w:b w:val="0"/>
        <w:i w:val="0"/>
        <w:sz w:val="18"/>
      </w:rPr>
    </w:lvl>
    <w:lvl w:ilvl="1" w:tentative="0">
      <w:start w:val="1"/>
      <w:numFmt w:val="lowerLetter"/>
      <w:lvlText w:val="%2)"/>
      <w:lvlJc w:val="left"/>
      <w:pPr>
        <w:tabs>
          <w:tab w:val="left" w:pos="1140"/>
        </w:tabs>
        <w:ind w:left="783" w:hanging="363"/>
      </w:pPr>
      <w:rPr>
        <w:rFonts w:hint="eastAsia"/>
      </w:rPr>
    </w:lvl>
    <w:lvl w:ilvl="2" w:tentative="0">
      <w:start w:val="1"/>
      <w:numFmt w:val="lowerRoman"/>
      <w:lvlText w:val="%3."/>
      <w:lvlJc w:val="right"/>
      <w:pPr>
        <w:tabs>
          <w:tab w:val="left" w:pos="1140"/>
        </w:tabs>
        <w:ind w:left="783" w:hanging="363"/>
      </w:pPr>
      <w:rPr>
        <w:rFonts w:hint="eastAsia"/>
      </w:rPr>
    </w:lvl>
    <w:lvl w:ilvl="3" w:tentative="0">
      <w:start w:val="1"/>
      <w:numFmt w:val="decimal"/>
      <w:lvlText w:val="%4."/>
      <w:lvlJc w:val="left"/>
      <w:pPr>
        <w:tabs>
          <w:tab w:val="left" w:pos="1140"/>
        </w:tabs>
        <w:ind w:left="783" w:hanging="363"/>
      </w:pPr>
      <w:rPr>
        <w:rFonts w:hint="eastAsia"/>
      </w:rPr>
    </w:lvl>
    <w:lvl w:ilvl="4" w:tentative="0">
      <w:start w:val="1"/>
      <w:numFmt w:val="lowerLetter"/>
      <w:lvlText w:val="%5)"/>
      <w:lvlJc w:val="left"/>
      <w:pPr>
        <w:tabs>
          <w:tab w:val="left" w:pos="1140"/>
        </w:tabs>
        <w:ind w:left="783" w:hanging="363"/>
      </w:pPr>
      <w:rPr>
        <w:rFonts w:hint="eastAsia"/>
      </w:rPr>
    </w:lvl>
    <w:lvl w:ilvl="5" w:tentative="0">
      <w:start w:val="1"/>
      <w:numFmt w:val="lowerRoman"/>
      <w:lvlText w:val="%6."/>
      <w:lvlJc w:val="right"/>
      <w:pPr>
        <w:tabs>
          <w:tab w:val="left" w:pos="1140"/>
        </w:tabs>
        <w:ind w:left="783" w:hanging="363"/>
      </w:pPr>
      <w:rPr>
        <w:rFonts w:hint="eastAsia"/>
      </w:rPr>
    </w:lvl>
    <w:lvl w:ilvl="6" w:tentative="0">
      <w:start w:val="1"/>
      <w:numFmt w:val="decimal"/>
      <w:lvlText w:val="%7."/>
      <w:lvlJc w:val="left"/>
      <w:pPr>
        <w:tabs>
          <w:tab w:val="left" w:pos="1140"/>
        </w:tabs>
        <w:ind w:left="783" w:hanging="363"/>
      </w:pPr>
      <w:rPr>
        <w:rFonts w:hint="eastAsia"/>
      </w:rPr>
    </w:lvl>
    <w:lvl w:ilvl="7" w:tentative="0">
      <w:start w:val="1"/>
      <w:numFmt w:val="lowerLetter"/>
      <w:lvlText w:val="%8)"/>
      <w:lvlJc w:val="left"/>
      <w:pPr>
        <w:tabs>
          <w:tab w:val="left" w:pos="1140"/>
        </w:tabs>
        <w:ind w:left="783" w:hanging="363"/>
      </w:pPr>
      <w:rPr>
        <w:rFonts w:hint="eastAsia"/>
      </w:rPr>
    </w:lvl>
    <w:lvl w:ilvl="8" w:tentative="0">
      <w:start w:val="1"/>
      <w:numFmt w:val="lowerRoman"/>
      <w:lvlText w:val="%9."/>
      <w:lvlJc w:val="right"/>
      <w:pPr>
        <w:tabs>
          <w:tab w:val="left" w:pos="1140"/>
        </w:tabs>
        <w:ind w:left="783" w:hanging="363"/>
      </w:pPr>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0ZGI4NWMwNjllNTUyNTY0YjdjZGY4YzMwMmI4NGMifQ=="/>
  </w:docVars>
  <w:rsids>
    <w:rsidRoot w:val="61442B7D"/>
    <w:rsid w:val="000B6034"/>
    <w:rsid w:val="0037161E"/>
    <w:rsid w:val="006F6A61"/>
    <w:rsid w:val="00DD0C0A"/>
    <w:rsid w:val="00F25C54"/>
    <w:rsid w:val="0775195B"/>
    <w:rsid w:val="0BF7071D"/>
    <w:rsid w:val="0F7551A1"/>
    <w:rsid w:val="0FFF79A2"/>
    <w:rsid w:val="11242635"/>
    <w:rsid w:val="1399061D"/>
    <w:rsid w:val="1F5F18CC"/>
    <w:rsid w:val="29DA1652"/>
    <w:rsid w:val="2F956BAB"/>
    <w:rsid w:val="305844E4"/>
    <w:rsid w:val="30676C6B"/>
    <w:rsid w:val="31865246"/>
    <w:rsid w:val="353051B4"/>
    <w:rsid w:val="35CD02E8"/>
    <w:rsid w:val="36135300"/>
    <w:rsid w:val="3B817C4C"/>
    <w:rsid w:val="3D395308"/>
    <w:rsid w:val="3F883DA4"/>
    <w:rsid w:val="433C798D"/>
    <w:rsid w:val="4B967A16"/>
    <w:rsid w:val="4BDE5327"/>
    <w:rsid w:val="58D55FD0"/>
    <w:rsid w:val="5A4356C5"/>
    <w:rsid w:val="61442B7D"/>
    <w:rsid w:val="6A3F7DB2"/>
    <w:rsid w:val="728A1EA4"/>
    <w:rsid w:val="78BA7D06"/>
    <w:rsid w:val="7C8C7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20"/>
    <w:qFormat/>
    <w:uiPriority w:val="0"/>
    <w:pPr>
      <w:tabs>
        <w:tab w:val="center" w:pos="4153"/>
        <w:tab w:val="right" w:pos="8306"/>
      </w:tabs>
      <w:snapToGrid w:val="0"/>
      <w:jc w:val="left"/>
    </w:pPr>
    <w:rPr>
      <w:sz w:val="18"/>
      <w:szCs w:val="18"/>
    </w:rPr>
  </w:style>
  <w:style w:type="paragraph" w:styleId="4">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0">
    <w:name w:val="标准文件_章标题"/>
    <w:next w:val="11"/>
    <w:qFormat/>
    <w:uiPriority w:val="0"/>
    <w:pPr>
      <w:numPr>
        <w:ilvl w:val="1"/>
        <w:numId w:val="1"/>
      </w:numPr>
      <w:spacing w:beforeLines="100" w:afterLines="100"/>
      <w:jc w:val="both"/>
      <w:outlineLvl w:val="0"/>
    </w:pPr>
    <w:rPr>
      <w:rFonts w:ascii="黑体" w:hAnsi="Times New Roman" w:eastAsia="黑体" w:cs="Times New Roman"/>
      <w:sz w:val="21"/>
      <w:lang w:val="en-US" w:eastAsia="zh-CN" w:bidi="ar-SA"/>
    </w:rPr>
  </w:style>
  <w:style w:type="paragraph" w:customStyle="1" w:styleId="11">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
    <w:name w:val="标准文件_一级条标题"/>
    <w:basedOn w:val="10"/>
    <w:next w:val="11"/>
    <w:qFormat/>
    <w:uiPriority w:val="0"/>
    <w:pPr>
      <w:numPr>
        <w:ilvl w:val="2"/>
      </w:numPr>
      <w:spacing w:beforeLines="50" w:afterLines="50"/>
      <w:outlineLvl w:val="1"/>
    </w:pPr>
  </w:style>
  <w:style w:type="paragraph" w:customStyle="1" w:styleId="13">
    <w:name w:val="标准文件_字母编号列项（一级）"/>
    <w:qFormat/>
    <w:uiPriority w:val="0"/>
    <w:pPr>
      <w:numPr>
        <w:ilvl w:val="0"/>
        <w:numId w:val="2"/>
      </w:numPr>
      <w:jc w:val="both"/>
    </w:pPr>
    <w:rPr>
      <w:rFonts w:ascii="宋体" w:hAnsi="Times New Roman" w:eastAsia="宋体" w:cs="Times New Roman"/>
      <w:sz w:val="21"/>
      <w:lang w:val="en-US" w:eastAsia="zh-CN" w:bidi="ar-SA"/>
    </w:rPr>
  </w:style>
  <w:style w:type="paragraph" w:customStyle="1" w:styleId="14">
    <w:name w:val="标准文件_注："/>
    <w:next w:val="11"/>
    <w:qFormat/>
    <w:uiPriority w:val="0"/>
    <w:pPr>
      <w:widowControl w:val="0"/>
      <w:numPr>
        <w:ilvl w:val="0"/>
        <w:numId w:val="3"/>
      </w:numPr>
      <w:autoSpaceDE w:val="0"/>
      <w:autoSpaceDN w:val="0"/>
      <w:jc w:val="both"/>
    </w:pPr>
    <w:rPr>
      <w:rFonts w:ascii="宋体" w:hAnsi="Times New Roman" w:eastAsia="宋体" w:cs="Times New Roman"/>
      <w:sz w:val="18"/>
      <w:szCs w:val="18"/>
      <w:lang w:val="en-US" w:eastAsia="zh-CN" w:bidi="ar-SA"/>
    </w:rPr>
  </w:style>
  <w:style w:type="paragraph" w:customStyle="1" w:styleId="15">
    <w:name w:val="标准文件_二级条标题"/>
    <w:next w:val="11"/>
    <w:qFormat/>
    <w:uiPriority w:val="0"/>
    <w:pPr>
      <w:widowControl w:val="0"/>
      <w:numPr>
        <w:ilvl w:val="3"/>
        <w:numId w:val="1"/>
      </w:numPr>
      <w:spacing w:beforeLines="50" w:afterLines="50"/>
      <w:ind w:left="0"/>
      <w:jc w:val="both"/>
      <w:outlineLvl w:val="2"/>
    </w:pPr>
    <w:rPr>
      <w:rFonts w:ascii="黑体" w:hAnsi="Times New Roman" w:eastAsia="黑体" w:cs="Times New Roman"/>
      <w:sz w:val="21"/>
      <w:lang w:val="en-US" w:eastAsia="zh-CN" w:bidi="ar-SA"/>
    </w:rPr>
  </w:style>
  <w:style w:type="paragraph" w:customStyle="1" w:styleId="16">
    <w:name w:val="标准文件_二级无标题"/>
    <w:basedOn w:val="15"/>
    <w:qFormat/>
    <w:uiPriority w:val="0"/>
    <w:pPr>
      <w:spacing w:beforeLines="0" w:afterLines="0"/>
      <w:outlineLvl w:val="9"/>
    </w:pPr>
    <w:rPr>
      <w:rFonts w:ascii="宋体" w:eastAsia="宋体"/>
    </w:rPr>
  </w:style>
  <w:style w:type="paragraph" w:customStyle="1" w:styleId="17">
    <w:name w:val="段"/>
    <w:qFormat/>
    <w:uiPriority w:val="0"/>
    <w:pPr>
      <w:tabs>
        <w:tab w:val="center" w:pos="4201"/>
        <w:tab w:val="right" w:leader="dot" w:pos="9298"/>
      </w:tabs>
      <w:autoSpaceDE w:val="0"/>
      <w:autoSpaceDN w:val="0"/>
      <w:ind w:firstLine="200" w:firstLineChars="200"/>
      <w:jc w:val="both"/>
    </w:pPr>
    <w:rPr>
      <w:rFonts w:ascii="宋体" w:hAnsi="宋体" w:eastAsia="宋体" w:cs="Times New Roman"/>
      <w:sz w:val="21"/>
      <w:lang w:val="en-US" w:eastAsia="zh-CN" w:bidi="ar-SA"/>
    </w:rPr>
  </w:style>
  <w:style w:type="paragraph" w:styleId="18">
    <w:name w:val="List Paragraph"/>
    <w:basedOn w:val="1"/>
    <w:qFormat/>
    <w:uiPriority w:val="34"/>
    <w:pPr>
      <w:ind w:firstLine="420" w:firstLineChars="200"/>
    </w:pPr>
  </w:style>
  <w:style w:type="character" w:customStyle="1" w:styleId="19">
    <w:name w:val="页眉 字符"/>
    <w:basedOn w:val="8"/>
    <w:link w:val="4"/>
    <w:qFormat/>
    <w:uiPriority w:val="0"/>
    <w:rPr>
      <w:rFonts w:asciiTheme="minorHAnsi" w:hAnsiTheme="minorHAnsi" w:eastAsiaTheme="minorEastAsia" w:cstheme="minorBidi"/>
      <w:kern w:val="2"/>
      <w:sz w:val="18"/>
      <w:szCs w:val="18"/>
    </w:rPr>
  </w:style>
  <w:style w:type="character" w:customStyle="1" w:styleId="20">
    <w:name w:val="页脚 字符"/>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5c9ad89-ef48-4363-bb7f-5247a198a373}"/>
        <w:style w:val=""/>
        <w:category>
          <w:name w:val="常规"/>
          <w:gallery w:val="placeholder"/>
        </w:category>
        <w:types>
          <w:type w:val="bbPlcHdr"/>
        </w:types>
        <w:behaviors>
          <w:behavior w:val="content"/>
        </w:behaviors>
        <w:description w:val=""/>
        <w:guid w:val="{75C9AD89-EF48-4363-BB7F-5247A198A373}"/>
      </w:docPartPr>
      <w:docPartBody>
        <w:p>
          <w:pPr>
            <w:pStyle w:val="4"/>
          </w:pPr>
          <w:r>
            <w:rPr>
              <w:rStyle w:val="5"/>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186013"/>
    <w:rsid w:val="00186013"/>
    <w:rsid w:val="00BE3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BCD51AE7EE664F829AD238A095D3E5A4"/>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5">
    <w:name w:val="Placeholder Text"/>
    <w:basedOn w:val="2"/>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3023</Words>
  <Characters>3061</Characters>
  <Lines>27</Lines>
  <Paragraphs>7</Paragraphs>
  <TotalTime>14</TotalTime>
  <ScaleCrop>false</ScaleCrop>
  <LinksUpToDate>false</LinksUpToDate>
  <CharactersWithSpaces>3336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2022-07-04T03:13:00Z</dcterms:created>
  <dc:creator>陈慧娟</dc:creator>
  <cp:lastModifiedBy>Super青</cp:lastModifiedBy>
  <cp:lastPrinted>2022-08-16T06:43:00Z</cp:lastPrinted>
  <dcterms:modified xsi:type="dcterms:W3CDTF">2022-08-28T08:01:03Z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C81CF595A5DC44A18EE766C80272D1CE</vt:lpwstr>
  </property>
</Properties>
</file>